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CB3" w:rsidRPr="00C24512" w:rsidRDefault="00E77CB3" w:rsidP="00C24512">
      <w:pPr>
        <w:jc w:val="center"/>
        <w:rPr>
          <w:lang w:val="fr-FR"/>
        </w:rPr>
      </w:pPr>
      <w:bookmarkStart w:id="0" w:name="_GoBack"/>
      <w:bookmarkEnd w:id="0"/>
    </w:p>
    <w:p w:rsidR="00832312" w:rsidRPr="00C24512" w:rsidRDefault="00832312" w:rsidP="00C24512">
      <w:pPr>
        <w:jc w:val="center"/>
        <w:rPr>
          <w:lang w:val="fr-FR"/>
        </w:rPr>
      </w:pPr>
    </w:p>
    <w:p w:rsidR="00832312" w:rsidRPr="00C24512" w:rsidRDefault="00832312" w:rsidP="00C24512">
      <w:pPr>
        <w:jc w:val="center"/>
        <w:rPr>
          <w:lang w:val="fr-FR"/>
        </w:rPr>
      </w:pPr>
    </w:p>
    <w:p w:rsidR="00E77CB3" w:rsidRPr="00C24512" w:rsidRDefault="005B5811" w:rsidP="00C24512">
      <w:pPr>
        <w:jc w:val="center"/>
        <w:rPr>
          <w:lang w:val="fr-FR"/>
        </w:rPr>
      </w:pPr>
      <w:r w:rsidRPr="00C24512">
        <w:rPr>
          <w:lang w:val="fr-FR"/>
        </w:rPr>
        <w:t>PREMIÈRE SECTION</w:t>
      </w:r>
    </w:p>
    <w:p w:rsidR="00E77CB3" w:rsidRPr="00C24512" w:rsidRDefault="00E77CB3" w:rsidP="00C24512">
      <w:pPr>
        <w:jc w:val="center"/>
        <w:rPr>
          <w:lang w:val="fr-FR"/>
        </w:rPr>
      </w:pPr>
    </w:p>
    <w:p w:rsidR="00832312" w:rsidRPr="00C24512" w:rsidRDefault="00832312" w:rsidP="00C24512">
      <w:pPr>
        <w:jc w:val="center"/>
        <w:rPr>
          <w:lang w:val="fr-FR"/>
        </w:rPr>
      </w:pPr>
    </w:p>
    <w:p w:rsidR="00832312" w:rsidRPr="00C24512" w:rsidRDefault="00832312" w:rsidP="00C24512">
      <w:pPr>
        <w:jc w:val="center"/>
        <w:rPr>
          <w:lang w:val="fr-FR"/>
        </w:rPr>
      </w:pPr>
    </w:p>
    <w:p w:rsidR="00832312" w:rsidRPr="00C24512" w:rsidRDefault="00832312" w:rsidP="00C24512">
      <w:pPr>
        <w:jc w:val="center"/>
        <w:rPr>
          <w:lang w:val="fr-FR"/>
        </w:rPr>
      </w:pPr>
    </w:p>
    <w:p w:rsidR="00832312" w:rsidRPr="00C24512" w:rsidRDefault="00832312" w:rsidP="00C24512">
      <w:pPr>
        <w:jc w:val="center"/>
        <w:rPr>
          <w:lang w:val="fr-FR"/>
        </w:rPr>
      </w:pPr>
    </w:p>
    <w:p w:rsidR="00832312" w:rsidRPr="00C24512" w:rsidRDefault="00832312" w:rsidP="00C24512">
      <w:pPr>
        <w:jc w:val="center"/>
        <w:rPr>
          <w:lang w:val="fr-FR"/>
        </w:rPr>
      </w:pPr>
    </w:p>
    <w:p w:rsidR="00E77CB3" w:rsidRPr="00C24512" w:rsidRDefault="00E77CB3" w:rsidP="00C24512">
      <w:pPr>
        <w:jc w:val="center"/>
        <w:rPr>
          <w:b/>
          <w:lang w:val="fr-FR"/>
        </w:rPr>
      </w:pPr>
      <w:r w:rsidRPr="00C24512">
        <w:rPr>
          <w:b/>
          <w:lang w:val="fr-FR"/>
        </w:rPr>
        <w:t xml:space="preserve">AFFAIRE </w:t>
      </w:r>
      <w:r w:rsidR="005B5811" w:rsidRPr="00C24512">
        <w:rPr>
          <w:b/>
          <w:lang w:val="fr-FR"/>
        </w:rPr>
        <w:t>S.V. c. ITALIE</w:t>
      </w:r>
    </w:p>
    <w:p w:rsidR="00E77CB3" w:rsidRPr="00C24512" w:rsidRDefault="00E77CB3" w:rsidP="00C24512">
      <w:pPr>
        <w:jc w:val="center"/>
        <w:rPr>
          <w:lang w:val="fr-FR"/>
        </w:rPr>
      </w:pPr>
    </w:p>
    <w:p w:rsidR="00832312" w:rsidRPr="00C24512" w:rsidRDefault="00E77CB3" w:rsidP="00C24512">
      <w:pPr>
        <w:jc w:val="center"/>
        <w:rPr>
          <w:lang w:val="fr-FR"/>
        </w:rPr>
      </w:pPr>
      <w:r w:rsidRPr="00C24512">
        <w:rPr>
          <w:i/>
          <w:lang w:val="fr-FR"/>
        </w:rPr>
        <w:t>(</w:t>
      </w:r>
      <w:r w:rsidR="005B5811" w:rsidRPr="00C24512">
        <w:rPr>
          <w:i/>
          <w:lang w:val="fr-FR"/>
        </w:rPr>
        <w:t>Requête n</w:t>
      </w:r>
      <w:r w:rsidR="005B5811" w:rsidRPr="00C24512">
        <w:rPr>
          <w:i/>
          <w:vertAlign w:val="superscript"/>
          <w:lang w:val="fr-FR"/>
        </w:rPr>
        <w:t>o</w:t>
      </w:r>
      <w:r w:rsidR="005B5811" w:rsidRPr="00C24512">
        <w:rPr>
          <w:i/>
          <w:lang w:val="fr-FR"/>
        </w:rPr>
        <w:t xml:space="preserve"> 55216/08</w:t>
      </w:r>
      <w:r w:rsidRPr="00C24512">
        <w:rPr>
          <w:i/>
          <w:lang w:val="fr-FR"/>
        </w:rPr>
        <w:t>)</w:t>
      </w:r>
    </w:p>
    <w:p w:rsidR="00832312" w:rsidRPr="00C24512" w:rsidRDefault="00832312" w:rsidP="00C24512">
      <w:pPr>
        <w:jc w:val="center"/>
        <w:rPr>
          <w:lang w:val="fr-FR"/>
        </w:rPr>
      </w:pPr>
    </w:p>
    <w:p w:rsidR="00832312" w:rsidRPr="00C24512" w:rsidRDefault="00832312" w:rsidP="00C24512">
      <w:pPr>
        <w:jc w:val="center"/>
        <w:rPr>
          <w:lang w:val="fr-FR"/>
        </w:rPr>
      </w:pPr>
    </w:p>
    <w:p w:rsidR="00832312" w:rsidRPr="00C24512" w:rsidRDefault="00832312" w:rsidP="00C24512">
      <w:pPr>
        <w:jc w:val="center"/>
        <w:rPr>
          <w:lang w:val="fr-FR"/>
        </w:rPr>
      </w:pPr>
    </w:p>
    <w:p w:rsidR="00832312" w:rsidRPr="00C24512" w:rsidRDefault="00832312" w:rsidP="00C24512">
      <w:pPr>
        <w:jc w:val="center"/>
        <w:rPr>
          <w:lang w:val="fr-FR"/>
        </w:rPr>
      </w:pPr>
    </w:p>
    <w:p w:rsidR="00832312" w:rsidRPr="00C24512" w:rsidRDefault="00832312" w:rsidP="00C24512">
      <w:pPr>
        <w:jc w:val="center"/>
        <w:rPr>
          <w:lang w:val="fr-FR"/>
        </w:rPr>
      </w:pPr>
    </w:p>
    <w:p w:rsidR="00832312" w:rsidRPr="00C24512" w:rsidRDefault="00832312" w:rsidP="00C24512">
      <w:pPr>
        <w:jc w:val="center"/>
        <w:rPr>
          <w:lang w:val="fr-FR"/>
        </w:rPr>
      </w:pPr>
    </w:p>
    <w:p w:rsidR="00832312" w:rsidRPr="00C24512" w:rsidRDefault="00832312" w:rsidP="00C24512">
      <w:pPr>
        <w:jc w:val="center"/>
        <w:rPr>
          <w:lang w:val="fr-FR"/>
        </w:rPr>
      </w:pPr>
    </w:p>
    <w:p w:rsidR="00832312" w:rsidRPr="00C24512" w:rsidRDefault="00832312" w:rsidP="00C24512">
      <w:pPr>
        <w:jc w:val="center"/>
        <w:rPr>
          <w:lang w:val="fr-FR"/>
        </w:rPr>
      </w:pPr>
    </w:p>
    <w:p w:rsidR="00832312" w:rsidRPr="00C24512" w:rsidRDefault="00832312" w:rsidP="00C24512">
      <w:pPr>
        <w:jc w:val="center"/>
        <w:rPr>
          <w:lang w:val="fr-FR"/>
        </w:rPr>
      </w:pPr>
    </w:p>
    <w:p w:rsidR="00D02AD7" w:rsidRPr="00C24512" w:rsidRDefault="00D02AD7" w:rsidP="00C24512">
      <w:pPr>
        <w:jc w:val="center"/>
        <w:rPr>
          <w:lang w:val="fr-FR"/>
        </w:rPr>
      </w:pPr>
    </w:p>
    <w:p w:rsidR="00D02AD7" w:rsidRPr="00C24512" w:rsidRDefault="00D02AD7" w:rsidP="00C24512">
      <w:pPr>
        <w:jc w:val="center"/>
        <w:rPr>
          <w:lang w:val="fr-FR"/>
        </w:rPr>
      </w:pPr>
    </w:p>
    <w:p w:rsidR="00D02AD7" w:rsidRPr="00C24512" w:rsidRDefault="00D02AD7" w:rsidP="00C24512">
      <w:pPr>
        <w:jc w:val="center"/>
        <w:rPr>
          <w:lang w:val="fr-FR"/>
        </w:rPr>
      </w:pPr>
    </w:p>
    <w:p w:rsidR="00D02AD7" w:rsidRPr="00C24512" w:rsidRDefault="00D02AD7" w:rsidP="00C24512">
      <w:pPr>
        <w:jc w:val="center"/>
        <w:rPr>
          <w:lang w:val="fr-FR"/>
        </w:rPr>
      </w:pPr>
    </w:p>
    <w:p w:rsidR="00832312" w:rsidRPr="00C24512" w:rsidRDefault="00832312" w:rsidP="00C24512">
      <w:pPr>
        <w:jc w:val="center"/>
        <w:rPr>
          <w:lang w:val="fr-FR"/>
        </w:rPr>
      </w:pPr>
      <w:r w:rsidRPr="00C24512">
        <w:rPr>
          <w:lang w:val="fr-FR"/>
        </w:rPr>
        <w:t>ARRÊT</w:t>
      </w:r>
    </w:p>
    <w:p w:rsidR="00671DC4" w:rsidRPr="00C24512" w:rsidRDefault="00671DC4" w:rsidP="00C24512">
      <w:pPr>
        <w:jc w:val="center"/>
        <w:rPr>
          <w:lang w:val="fr-FR"/>
        </w:rPr>
      </w:pPr>
    </w:p>
    <w:p w:rsidR="00832312" w:rsidRPr="00C24512" w:rsidRDefault="00832312" w:rsidP="00C24512">
      <w:pPr>
        <w:jc w:val="center"/>
        <w:rPr>
          <w:lang w:val="fr-FR"/>
        </w:rPr>
      </w:pPr>
    </w:p>
    <w:p w:rsidR="00832312" w:rsidRPr="00C24512" w:rsidRDefault="00832312" w:rsidP="00C24512">
      <w:pPr>
        <w:jc w:val="center"/>
        <w:rPr>
          <w:lang w:val="fr-FR"/>
        </w:rPr>
      </w:pPr>
    </w:p>
    <w:p w:rsidR="00832312" w:rsidRPr="00C24512" w:rsidRDefault="00832312" w:rsidP="00C24512">
      <w:pPr>
        <w:jc w:val="center"/>
        <w:rPr>
          <w:lang w:val="fr-FR"/>
        </w:rPr>
      </w:pPr>
    </w:p>
    <w:p w:rsidR="00832312" w:rsidRPr="00C24512" w:rsidRDefault="00832312" w:rsidP="00C24512">
      <w:pPr>
        <w:jc w:val="center"/>
        <w:rPr>
          <w:lang w:val="fr-FR"/>
        </w:rPr>
      </w:pPr>
      <w:r w:rsidRPr="00C24512">
        <w:rPr>
          <w:lang w:val="fr-FR"/>
        </w:rPr>
        <w:t>STRASBOURG</w:t>
      </w:r>
    </w:p>
    <w:p w:rsidR="00832312" w:rsidRPr="00C24512" w:rsidRDefault="00832312" w:rsidP="00C24512">
      <w:pPr>
        <w:jc w:val="center"/>
        <w:rPr>
          <w:lang w:val="fr-FR"/>
        </w:rPr>
      </w:pPr>
    </w:p>
    <w:p w:rsidR="00832312" w:rsidRPr="00C24512" w:rsidRDefault="00832312" w:rsidP="00C24512">
      <w:pPr>
        <w:jc w:val="center"/>
        <w:rPr>
          <w:lang w:val="fr-FR"/>
        </w:rPr>
      </w:pPr>
      <w:r w:rsidRPr="00C24512">
        <w:rPr>
          <w:lang w:val="fr-FR"/>
        </w:rPr>
        <w:t>11 octobre 2018</w:t>
      </w:r>
    </w:p>
    <w:p w:rsidR="00832312" w:rsidRPr="00C24512" w:rsidRDefault="00832312" w:rsidP="00C24512">
      <w:pPr>
        <w:jc w:val="center"/>
        <w:rPr>
          <w:lang w:val="fr-FR"/>
        </w:rPr>
      </w:pPr>
    </w:p>
    <w:p w:rsidR="007004E5" w:rsidRPr="00C24512" w:rsidRDefault="007004E5" w:rsidP="00C24512">
      <w:pPr>
        <w:jc w:val="center"/>
        <w:rPr>
          <w:lang w:val="fr-FR"/>
        </w:rPr>
      </w:pPr>
    </w:p>
    <w:p w:rsidR="00832312" w:rsidRPr="00C24512" w:rsidRDefault="00832312" w:rsidP="00C24512">
      <w:pPr>
        <w:jc w:val="center"/>
        <w:rPr>
          <w:lang w:val="fr-FR"/>
        </w:rPr>
      </w:pPr>
    </w:p>
    <w:p w:rsidR="00832312" w:rsidRPr="00C24512" w:rsidRDefault="00832312" w:rsidP="00C24512">
      <w:pPr>
        <w:jc w:val="left"/>
        <w:rPr>
          <w:i/>
          <w:sz w:val="22"/>
          <w:lang w:val="fr-FR"/>
        </w:rPr>
      </w:pPr>
      <w:r w:rsidRPr="00C24512">
        <w:rPr>
          <w:i/>
          <w:sz w:val="22"/>
          <w:lang w:val="fr-FR"/>
        </w:rPr>
        <w:t>Cet arrêt deviendra définitif dans les conditions définies à l</w:t>
      </w:r>
      <w:r w:rsidR="00C24512" w:rsidRPr="00C24512">
        <w:rPr>
          <w:i/>
          <w:sz w:val="22"/>
          <w:lang w:val="fr-FR"/>
        </w:rPr>
        <w:t>’</w:t>
      </w:r>
      <w:r w:rsidRPr="00C24512">
        <w:rPr>
          <w:i/>
          <w:sz w:val="22"/>
          <w:lang w:val="fr-FR"/>
        </w:rPr>
        <w:t>article 44 § 2 de la Convention. Il peut subir des retouches de forme.</w:t>
      </w:r>
    </w:p>
    <w:p w:rsidR="008F7DEC" w:rsidRPr="00C24512" w:rsidRDefault="008F7DEC" w:rsidP="00C24512">
      <w:pPr>
        <w:pStyle w:val="ECHRPara"/>
        <w:ind w:firstLine="0"/>
        <w:jc w:val="left"/>
        <w:rPr>
          <w:lang w:val="fr-FR"/>
        </w:rPr>
        <w:sectPr w:rsidR="008F7DEC" w:rsidRPr="00C24512" w:rsidSect="00832312">
          <w:headerReference w:type="default" r:id="rId12"/>
          <w:headerReference w:type="first" r:id="rId13"/>
          <w:footerReference w:type="first" r:id="rId14"/>
          <w:footnotePr>
            <w:numRestart w:val="eachSect"/>
          </w:footnotePr>
          <w:pgSz w:w="11906" w:h="16838" w:code="9"/>
          <w:pgMar w:top="2274" w:right="2274" w:bottom="2274" w:left="2274" w:header="1701" w:footer="720" w:gutter="0"/>
          <w:pgNumType w:start="1"/>
          <w:cols w:space="720"/>
          <w:titlePg/>
          <w:docGrid w:linePitch="326"/>
        </w:sectPr>
      </w:pPr>
    </w:p>
    <w:p w:rsidR="00E77CB3" w:rsidRPr="00C24512" w:rsidRDefault="00E77CB3" w:rsidP="00C24512">
      <w:pPr>
        <w:pStyle w:val="JuCase"/>
        <w:rPr>
          <w:lang w:val="fr-FR"/>
        </w:rPr>
      </w:pPr>
      <w:r w:rsidRPr="00C24512">
        <w:rPr>
          <w:lang w:val="fr-FR"/>
        </w:rPr>
        <w:lastRenderedPageBreak/>
        <w:t>En l</w:t>
      </w:r>
      <w:r w:rsidR="00C24512" w:rsidRPr="00C24512">
        <w:rPr>
          <w:lang w:val="fr-FR"/>
        </w:rPr>
        <w:t>’</w:t>
      </w:r>
      <w:r w:rsidRPr="00C24512">
        <w:rPr>
          <w:lang w:val="fr-FR"/>
        </w:rPr>
        <w:t xml:space="preserve">affaire </w:t>
      </w:r>
      <w:r w:rsidR="005B5811" w:rsidRPr="00C24512">
        <w:rPr>
          <w:lang w:val="fr-FR"/>
        </w:rPr>
        <w:t>S.V. c. Italie</w:t>
      </w:r>
      <w:r w:rsidRPr="00C24512">
        <w:rPr>
          <w:lang w:val="fr-FR"/>
        </w:rPr>
        <w:t>,</w:t>
      </w:r>
    </w:p>
    <w:p w:rsidR="00E77CB3" w:rsidRPr="00C24512" w:rsidRDefault="00E77CB3" w:rsidP="00C24512">
      <w:pPr>
        <w:pStyle w:val="ECHRPara"/>
        <w:rPr>
          <w:lang w:val="fr-FR"/>
        </w:rPr>
      </w:pPr>
      <w:r w:rsidRPr="00C24512">
        <w:rPr>
          <w:lang w:val="fr-FR"/>
        </w:rPr>
        <w:t>La Cour européenne des droits de l</w:t>
      </w:r>
      <w:r w:rsidR="00C24512" w:rsidRPr="00C24512">
        <w:rPr>
          <w:lang w:val="fr-FR"/>
        </w:rPr>
        <w:t>’</w:t>
      </w:r>
      <w:r w:rsidRPr="00C24512">
        <w:rPr>
          <w:lang w:val="fr-FR"/>
        </w:rPr>
        <w:t>homme (</w:t>
      </w:r>
      <w:r w:rsidR="005B5811" w:rsidRPr="00C24512">
        <w:rPr>
          <w:lang w:val="fr-FR"/>
        </w:rPr>
        <w:t>première section</w:t>
      </w:r>
      <w:r w:rsidRPr="00C24512">
        <w:rPr>
          <w:lang w:val="fr-FR"/>
        </w:rPr>
        <w:t xml:space="preserve">), siégeant en </w:t>
      </w:r>
      <w:r w:rsidR="005B5811" w:rsidRPr="00C24512">
        <w:rPr>
          <w:lang w:val="fr-FR"/>
        </w:rPr>
        <w:t>une chambre composée</w:t>
      </w:r>
      <w:r w:rsidRPr="00C24512">
        <w:rPr>
          <w:lang w:val="fr-FR"/>
        </w:rPr>
        <w:t xml:space="preserve"> de :</w:t>
      </w:r>
    </w:p>
    <w:p w:rsidR="00E77CB3" w:rsidRPr="00C24512" w:rsidRDefault="00D02AD7" w:rsidP="00C24512">
      <w:pPr>
        <w:pStyle w:val="ECHRDecisionBody"/>
        <w:rPr>
          <w:lang w:val="fr-FR"/>
        </w:rPr>
      </w:pPr>
      <w:r w:rsidRPr="00C24512">
        <w:rPr>
          <w:lang w:val="fr-FR"/>
        </w:rPr>
        <w:tab/>
        <w:t xml:space="preserve">Linos-Alexandre </w:t>
      </w:r>
      <w:proofErr w:type="spellStart"/>
      <w:r w:rsidRPr="00C24512">
        <w:rPr>
          <w:lang w:val="fr-FR"/>
        </w:rPr>
        <w:t>Sicilianos</w:t>
      </w:r>
      <w:proofErr w:type="spellEnd"/>
      <w:r w:rsidRPr="00C24512">
        <w:rPr>
          <w:lang w:val="fr-FR"/>
        </w:rPr>
        <w:t>,</w:t>
      </w:r>
      <w:r w:rsidRPr="00C24512">
        <w:rPr>
          <w:i/>
          <w:lang w:val="fr-FR"/>
        </w:rPr>
        <w:t xml:space="preserve"> président,</w:t>
      </w:r>
      <w:r w:rsidRPr="00C24512">
        <w:rPr>
          <w:i/>
          <w:lang w:val="fr-FR"/>
        </w:rPr>
        <w:br/>
      </w:r>
      <w:r w:rsidRPr="00C24512">
        <w:rPr>
          <w:lang w:val="fr-FR"/>
        </w:rPr>
        <w:tab/>
        <w:t xml:space="preserve">Kristina </w:t>
      </w:r>
      <w:proofErr w:type="spellStart"/>
      <w:r w:rsidRPr="00C24512">
        <w:rPr>
          <w:lang w:val="fr-FR"/>
        </w:rPr>
        <w:t>Pardalos</w:t>
      </w:r>
      <w:proofErr w:type="spellEnd"/>
      <w:r w:rsidRPr="00C24512">
        <w:rPr>
          <w:lang w:val="fr-FR"/>
        </w:rPr>
        <w:t>,</w:t>
      </w:r>
      <w:r w:rsidRPr="00C24512">
        <w:rPr>
          <w:i/>
          <w:lang w:val="fr-FR"/>
        </w:rPr>
        <w:br/>
      </w:r>
      <w:r w:rsidRPr="00C24512">
        <w:rPr>
          <w:lang w:val="fr-FR"/>
        </w:rPr>
        <w:tab/>
        <w:t>Guido Raimondi,</w:t>
      </w:r>
      <w:r w:rsidRPr="00C24512">
        <w:rPr>
          <w:i/>
          <w:lang w:val="fr-FR"/>
        </w:rPr>
        <w:br/>
      </w:r>
      <w:r w:rsidRPr="00C24512">
        <w:rPr>
          <w:lang w:val="fr-FR"/>
        </w:rPr>
        <w:tab/>
      </w:r>
      <w:proofErr w:type="spellStart"/>
      <w:r w:rsidRPr="00C24512">
        <w:rPr>
          <w:lang w:val="fr-FR"/>
        </w:rPr>
        <w:t>Aleš</w:t>
      </w:r>
      <w:proofErr w:type="spellEnd"/>
      <w:r w:rsidRPr="00C24512">
        <w:rPr>
          <w:lang w:val="fr-FR"/>
        </w:rPr>
        <w:t xml:space="preserve"> </w:t>
      </w:r>
      <w:proofErr w:type="spellStart"/>
      <w:r w:rsidRPr="00C24512">
        <w:rPr>
          <w:lang w:val="fr-FR"/>
        </w:rPr>
        <w:t>Pejchal</w:t>
      </w:r>
      <w:proofErr w:type="spellEnd"/>
      <w:r w:rsidRPr="00C24512">
        <w:rPr>
          <w:lang w:val="fr-FR"/>
        </w:rPr>
        <w:t>,</w:t>
      </w:r>
      <w:r w:rsidRPr="00C24512">
        <w:rPr>
          <w:i/>
          <w:lang w:val="fr-FR"/>
        </w:rPr>
        <w:br/>
      </w:r>
      <w:r w:rsidRPr="00C24512">
        <w:rPr>
          <w:lang w:val="fr-FR"/>
        </w:rPr>
        <w:tab/>
      </w:r>
      <w:proofErr w:type="spellStart"/>
      <w:r w:rsidRPr="00C24512">
        <w:rPr>
          <w:lang w:val="fr-FR"/>
        </w:rPr>
        <w:t>Ksenija</w:t>
      </w:r>
      <w:proofErr w:type="spellEnd"/>
      <w:r w:rsidRPr="00C24512">
        <w:rPr>
          <w:lang w:val="fr-FR"/>
        </w:rPr>
        <w:t xml:space="preserve"> </w:t>
      </w:r>
      <w:proofErr w:type="spellStart"/>
      <w:r w:rsidRPr="00C24512">
        <w:rPr>
          <w:lang w:val="fr-FR"/>
        </w:rPr>
        <w:t>Turković</w:t>
      </w:r>
      <w:proofErr w:type="spellEnd"/>
      <w:r w:rsidRPr="00C24512">
        <w:rPr>
          <w:lang w:val="fr-FR"/>
        </w:rPr>
        <w:t>,</w:t>
      </w:r>
      <w:r w:rsidRPr="00C24512">
        <w:rPr>
          <w:i/>
          <w:lang w:val="fr-FR"/>
        </w:rPr>
        <w:br/>
      </w:r>
      <w:r w:rsidRPr="00C24512">
        <w:rPr>
          <w:lang w:val="fr-FR"/>
        </w:rPr>
        <w:tab/>
      </w:r>
      <w:proofErr w:type="spellStart"/>
      <w:r w:rsidRPr="00C24512">
        <w:rPr>
          <w:lang w:val="fr-FR"/>
        </w:rPr>
        <w:t>Armen</w:t>
      </w:r>
      <w:proofErr w:type="spellEnd"/>
      <w:r w:rsidRPr="00C24512">
        <w:rPr>
          <w:lang w:val="fr-FR"/>
        </w:rPr>
        <w:t xml:space="preserve"> </w:t>
      </w:r>
      <w:proofErr w:type="spellStart"/>
      <w:r w:rsidRPr="00C24512">
        <w:rPr>
          <w:lang w:val="fr-FR"/>
        </w:rPr>
        <w:t>Harutyunyan</w:t>
      </w:r>
      <w:proofErr w:type="spellEnd"/>
      <w:r w:rsidRPr="00C24512">
        <w:rPr>
          <w:lang w:val="fr-FR"/>
        </w:rPr>
        <w:t>,</w:t>
      </w:r>
      <w:r w:rsidRPr="00C24512">
        <w:rPr>
          <w:i/>
          <w:lang w:val="fr-FR"/>
        </w:rPr>
        <w:br/>
      </w:r>
      <w:r w:rsidRPr="00C24512">
        <w:rPr>
          <w:lang w:val="fr-FR"/>
        </w:rPr>
        <w:tab/>
      </w:r>
      <w:proofErr w:type="spellStart"/>
      <w:r w:rsidRPr="00C24512">
        <w:rPr>
          <w:lang w:val="fr-FR"/>
        </w:rPr>
        <w:t>Pauliine</w:t>
      </w:r>
      <w:proofErr w:type="spellEnd"/>
      <w:r w:rsidRPr="00C24512">
        <w:rPr>
          <w:lang w:val="fr-FR"/>
        </w:rPr>
        <w:t xml:space="preserve"> </w:t>
      </w:r>
      <w:proofErr w:type="spellStart"/>
      <w:r w:rsidRPr="00C24512">
        <w:rPr>
          <w:lang w:val="fr-FR"/>
        </w:rPr>
        <w:t>Koskelo</w:t>
      </w:r>
      <w:proofErr w:type="spellEnd"/>
      <w:r w:rsidRPr="00C24512">
        <w:rPr>
          <w:lang w:val="fr-FR"/>
        </w:rPr>
        <w:t>,</w:t>
      </w:r>
      <w:r w:rsidRPr="00C24512">
        <w:rPr>
          <w:i/>
          <w:lang w:val="fr-FR"/>
        </w:rPr>
        <w:t xml:space="preserve"> juges,</w:t>
      </w:r>
      <w:r w:rsidR="00E77CB3" w:rsidRPr="00C24512">
        <w:rPr>
          <w:lang w:val="fr-FR"/>
        </w:rPr>
        <w:br/>
        <w:t xml:space="preserve">et de </w:t>
      </w:r>
      <w:r w:rsidR="005B5811" w:rsidRPr="00C24512">
        <w:rPr>
          <w:lang w:val="fr-FR"/>
        </w:rPr>
        <w:t>Abel Campos</w:t>
      </w:r>
      <w:r w:rsidR="00E77CB3" w:rsidRPr="00C24512">
        <w:rPr>
          <w:lang w:val="fr-FR"/>
        </w:rPr>
        <w:t xml:space="preserve">, </w:t>
      </w:r>
      <w:r w:rsidR="005B5811" w:rsidRPr="00C24512">
        <w:rPr>
          <w:i/>
          <w:lang w:val="fr-FR"/>
        </w:rPr>
        <w:t>greffier</w:t>
      </w:r>
      <w:r w:rsidR="005B5811" w:rsidRPr="00C24512">
        <w:rPr>
          <w:iCs/>
          <w:lang w:val="fr-FR"/>
        </w:rPr>
        <w:t xml:space="preserve"> </w:t>
      </w:r>
      <w:r w:rsidR="005B5811" w:rsidRPr="00C24512">
        <w:rPr>
          <w:i/>
          <w:iCs/>
          <w:lang w:val="fr-FR"/>
        </w:rPr>
        <w:t>d</w:t>
      </w:r>
      <w:r w:rsidR="005B5811" w:rsidRPr="00C24512">
        <w:rPr>
          <w:i/>
          <w:lang w:val="fr-FR"/>
        </w:rPr>
        <w:t>e section</w:t>
      </w:r>
      <w:r w:rsidR="00E77CB3" w:rsidRPr="00C24512">
        <w:rPr>
          <w:lang w:val="fr-FR"/>
        </w:rPr>
        <w:t>,</w:t>
      </w:r>
    </w:p>
    <w:p w:rsidR="00E77CB3" w:rsidRPr="00C24512" w:rsidRDefault="00E77CB3" w:rsidP="00C24512">
      <w:pPr>
        <w:pStyle w:val="ECHRPara"/>
        <w:rPr>
          <w:lang w:val="fr-FR"/>
        </w:rPr>
      </w:pPr>
      <w:r w:rsidRPr="00C24512">
        <w:rPr>
          <w:lang w:val="fr-FR"/>
        </w:rPr>
        <w:t xml:space="preserve">Après en avoir délibéré en chambre du conseil le </w:t>
      </w:r>
      <w:r w:rsidR="00D02AD7" w:rsidRPr="00C24512">
        <w:rPr>
          <w:lang w:val="fr-FR"/>
        </w:rPr>
        <w:t>18 septembre 2018</w:t>
      </w:r>
      <w:r w:rsidRPr="00C24512">
        <w:rPr>
          <w:lang w:val="fr-FR"/>
        </w:rPr>
        <w:t>,</w:t>
      </w:r>
    </w:p>
    <w:p w:rsidR="00E77CB3" w:rsidRPr="00C24512" w:rsidRDefault="00E77CB3" w:rsidP="00C24512">
      <w:pPr>
        <w:pStyle w:val="ECHRPara"/>
        <w:rPr>
          <w:lang w:val="fr-FR"/>
        </w:rPr>
      </w:pPr>
      <w:r w:rsidRPr="00C24512">
        <w:rPr>
          <w:lang w:val="fr-FR"/>
        </w:rPr>
        <w:t>Rend l</w:t>
      </w:r>
      <w:r w:rsidR="00C24512" w:rsidRPr="00C24512">
        <w:rPr>
          <w:lang w:val="fr-FR"/>
        </w:rPr>
        <w:t>’</w:t>
      </w:r>
      <w:r w:rsidRPr="00C24512">
        <w:rPr>
          <w:lang w:val="fr-FR"/>
        </w:rPr>
        <w:t>arrêt que voici, adopté à cette date :</w:t>
      </w:r>
    </w:p>
    <w:p w:rsidR="005B5811" w:rsidRPr="00C24512" w:rsidRDefault="005B5811" w:rsidP="00C24512">
      <w:pPr>
        <w:pStyle w:val="ECHRTitle1"/>
        <w:rPr>
          <w:lang w:val="fr-FR"/>
        </w:rPr>
      </w:pPr>
      <w:r w:rsidRPr="00C24512">
        <w:rPr>
          <w:lang w:val="fr-FR"/>
        </w:rPr>
        <w:t>PROCÉDURE</w:t>
      </w:r>
    </w:p>
    <w:p w:rsidR="005B5811" w:rsidRPr="00C24512" w:rsidRDefault="001B02FF" w:rsidP="00C24512">
      <w:pPr>
        <w:pStyle w:val="ECHRPara"/>
        <w:rPr>
          <w:lang w:val="fr-FR"/>
        </w:rPr>
      </w:pPr>
      <w:r w:rsidRPr="00C24512">
        <w:rPr>
          <w:lang w:val="fr-FR"/>
        </w:rPr>
        <w:fldChar w:fldCharType="begin"/>
      </w:r>
      <w:r w:rsidRPr="00C24512">
        <w:rPr>
          <w:lang w:val="fr-FR"/>
        </w:rPr>
        <w:instrText xml:space="preserve"> SEQ level0 \*arabic </w:instrText>
      </w:r>
      <w:r w:rsidRPr="00C24512">
        <w:rPr>
          <w:lang w:val="fr-FR"/>
        </w:rPr>
        <w:fldChar w:fldCharType="separate"/>
      </w:r>
      <w:r w:rsidR="00C24512" w:rsidRPr="00C24512">
        <w:rPr>
          <w:noProof/>
          <w:lang w:val="fr-FR"/>
        </w:rPr>
        <w:t>1</w:t>
      </w:r>
      <w:r w:rsidRPr="00C24512">
        <w:rPr>
          <w:lang w:val="fr-FR"/>
        </w:rPr>
        <w:fldChar w:fldCharType="end"/>
      </w:r>
      <w:r w:rsidRPr="00C24512">
        <w:rPr>
          <w:lang w:val="fr-FR"/>
        </w:rPr>
        <w:t>.  </w:t>
      </w:r>
      <w:r w:rsidR="005B5811" w:rsidRPr="00C24512">
        <w:rPr>
          <w:lang w:val="fr-FR"/>
        </w:rPr>
        <w:t>À l</w:t>
      </w:r>
      <w:r w:rsidR="00C24512" w:rsidRPr="00C24512">
        <w:rPr>
          <w:lang w:val="fr-FR"/>
        </w:rPr>
        <w:t>’</w:t>
      </w:r>
      <w:r w:rsidR="005B5811" w:rsidRPr="00C24512">
        <w:rPr>
          <w:lang w:val="fr-FR"/>
        </w:rPr>
        <w:t>origine de l</w:t>
      </w:r>
      <w:r w:rsidR="00C24512" w:rsidRPr="00C24512">
        <w:rPr>
          <w:lang w:val="fr-FR"/>
        </w:rPr>
        <w:t>’</w:t>
      </w:r>
      <w:r w:rsidR="005B5811" w:rsidRPr="00C24512">
        <w:rPr>
          <w:lang w:val="fr-FR"/>
        </w:rPr>
        <w:t>affaire se trouve une requête (n</w:t>
      </w:r>
      <w:r w:rsidR="005B5811" w:rsidRPr="00C24512">
        <w:rPr>
          <w:vertAlign w:val="superscript"/>
          <w:lang w:val="fr-FR"/>
        </w:rPr>
        <w:t>o</w:t>
      </w:r>
      <w:r w:rsidR="005B5811" w:rsidRPr="00C24512">
        <w:rPr>
          <w:lang w:val="fr-FR"/>
        </w:rPr>
        <w:t xml:space="preserve"> 55216/08) dirigée contre la République italienne et dont une ressortissante de cet État, M</w:t>
      </w:r>
      <w:r w:rsidR="005B5811" w:rsidRPr="00C24512">
        <w:rPr>
          <w:vertAlign w:val="superscript"/>
          <w:lang w:val="fr-FR"/>
        </w:rPr>
        <w:t>me</w:t>
      </w:r>
      <w:r w:rsidR="005B5811" w:rsidRPr="00C24512">
        <w:rPr>
          <w:lang w:val="fr-FR"/>
        </w:rPr>
        <w:t> S.V. (« la requérante »), a saisi la Cour le 13 novembre 2008 en vertu de l</w:t>
      </w:r>
      <w:r w:rsidR="00C24512" w:rsidRPr="00C24512">
        <w:rPr>
          <w:lang w:val="fr-FR"/>
        </w:rPr>
        <w:t>’</w:t>
      </w:r>
      <w:r w:rsidR="005B5811" w:rsidRPr="00C24512">
        <w:rPr>
          <w:lang w:val="fr-FR"/>
        </w:rPr>
        <w:t>article 34 de la Convention de sauvegarde des droits de l</w:t>
      </w:r>
      <w:r w:rsidR="00C24512" w:rsidRPr="00C24512">
        <w:rPr>
          <w:lang w:val="fr-FR"/>
        </w:rPr>
        <w:t>’</w:t>
      </w:r>
      <w:r w:rsidR="005B5811" w:rsidRPr="00C24512">
        <w:rPr>
          <w:lang w:val="fr-FR"/>
        </w:rPr>
        <w:t>homme et des libertés fondamentales (« la Convention »). Le président de la section a accédé à la demande de non-divulgation de son identité formulée par la requérante (article 47 § 4 du règlement</w:t>
      </w:r>
      <w:r w:rsidR="00F62ABF" w:rsidRPr="00C24512">
        <w:rPr>
          <w:lang w:val="fr-FR"/>
        </w:rPr>
        <w:t xml:space="preserve"> de la Cour</w:t>
      </w:r>
      <w:r w:rsidR="005B5811" w:rsidRPr="00C24512">
        <w:rPr>
          <w:lang w:val="fr-FR"/>
        </w:rPr>
        <w:t>).</w:t>
      </w:r>
    </w:p>
    <w:p w:rsidR="005B5811" w:rsidRPr="00C24512" w:rsidRDefault="005B5811" w:rsidP="00C24512">
      <w:pPr>
        <w:pStyle w:val="ECHRPara"/>
        <w:rPr>
          <w:lang w:val="fr-FR"/>
        </w:rPr>
      </w:pPr>
      <w:r w:rsidRPr="00C24512">
        <w:rPr>
          <w:lang w:val="pt-BR"/>
        </w:rPr>
        <w:fldChar w:fldCharType="begin"/>
      </w:r>
      <w:r w:rsidRPr="00C24512">
        <w:rPr>
          <w:lang w:val="pt-BR"/>
        </w:rPr>
        <w:instrText xml:space="preserve"> SEQ level0 \*arabic </w:instrText>
      </w:r>
      <w:r w:rsidRPr="00C24512">
        <w:rPr>
          <w:lang w:val="pt-BR"/>
        </w:rPr>
        <w:fldChar w:fldCharType="separate"/>
      </w:r>
      <w:r w:rsidR="00C24512" w:rsidRPr="00C24512">
        <w:rPr>
          <w:noProof/>
          <w:lang w:val="pt-BR"/>
        </w:rPr>
        <w:t>2</w:t>
      </w:r>
      <w:r w:rsidRPr="00C24512">
        <w:rPr>
          <w:lang w:val="pt-BR"/>
        </w:rPr>
        <w:fldChar w:fldCharType="end"/>
      </w:r>
      <w:r w:rsidRPr="00C24512">
        <w:rPr>
          <w:lang w:val="pt-BR"/>
        </w:rPr>
        <w:t>.  La requérante a été représentée par M</w:t>
      </w:r>
      <w:r w:rsidRPr="00C24512">
        <w:rPr>
          <w:vertAlign w:val="superscript"/>
          <w:lang w:val="pt-BR"/>
        </w:rPr>
        <w:t>es</w:t>
      </w:r>
      <w:r w:rsidRPr="00C24512">
        <w:rPr>
          <w:lang w:val="pt-BR"/>
        </w:rPr>
        <w:t> M. De Stefano et G. Guercio, avocats exerçant à Rome. Le gouvernement italien (« le Gouvernement ») a été représenté par son agent, M</w:t>
      </w:r>
      <w:r w:rsidRPr="00C24512">
        <w:rPr>
          <w:vertAlign w:val="superscript"/>
          <w:lang w:val="pt-BR"/>
        </w:rPr>
        <w:t>me</w:t>
      </w:r>
      <w:r w:rsidRPr="00C24512">
        <w:rPr>
          <w:lang w:val="pt-BR"/>
        </w:rPr>
        <w:t xml:space="preserve"> E. Spatafora.</w:t>
      </w:r>
    </w:p>
    <w:p w:rsidR="005B5811" w:rsidRPr="00C24512" w:rsidRDefault="005B5811" w:rsidP="00C24512">
      <w:pPr>
        <w:pStyle w:val="ECHRPara"/>
        <w:rPr>
          <w:lang w:val="fr-FR"/>
        </w:rPr>
      </w:pPr>
      <w:r w:rsidRPr="00C24512">
        <w:rPr>
          <w:lang w:val="fr-FR"/>
        </w:rPr>
        <w:fldChar w:fldCharType="begin"/>
      </w:r>
      <w:r w:rsidRPr="00C24512">
        <w:rPr>
          <w:lang w:val="fr-FR"/>
        </w:rPr>
        <w:instrText xml:space="preserve"> SEQ level0 \*arabic </w:instrText>
      </w:r>
      <w:r w:rsidRPr="00C24512">
        <w:rPr>
          <w:lang w:val="fr-FR"/>
        </w:rPr>
        <w:fldChar w:fldCharType="separate"/>
      </w:r>
      <w:r w:rsidR="00C24512" w:rsidRPr="00C24512">
        <w:rPr>
          <w:noProof/>
          <w:lang w:val="fr-FR"/>
        </w:rPr>
        <w:t>3</w:t>
      </w:r>
      <w:r w:rsidRPr="00C24512">
        <w:rPr>
          <w:lang w:val="fr-FR"/>
        </w:rPr>
        <w:fldChar w:fldCharType="end"/>
      </w:r>
      <w:r w:rsidRPr="00C24512">
        <w:rPr>
          <w:lang w:val="fr-FR"/>
        </w:rPr>
        <w:t xml:space="preserve">.  Le </w:t>
      </w:r>
      <w:r w:rsidRPr="00C24512">
        <w:rPr>
          <w:szCs w:val="24"/>
          <w:lang w:val="fr-FR"/>
        </w:rPr>
        <w:t>20 mars 2016</w:t>
      </w:r>
      <w:r w:rsidRPr="00C24512">
        <w:rPr>
          <w:lang w:val="fr-FR"/>
        </w:rPr>
        <w:t>, la requête a été communiquée au Gouvernement.</w:t>
      </w:r>
    </w:p>
    <w:p w:rsidR="005B5811" w:rsidRPr="00C24512" w:rsidRDefault="005B5811" w:rsidP="00C24512">
      <w:pPr>
        <w:pStyle w:val="ECHRPara"/>
        <w:rPr>
          <w:szCs w:val="24"/>
          <w:lang w:val="fr-FR" w:eastAsia="en-GB"/>
        </w:rPr>
      </w:pPr>
      <w:r w:rsidRPr="00C24512">
        <w:rPr>
          <w:lang w:val="fr-FR"/>
        </w:rPr>
        <w:fldChar w:fldCharType="begin"/>
      </w:r>
      <w:r w:rsidRPr="00C24512">
        <w:rPr>
          <w:lang w:val="fr-FR"/>
        </w:rPr>
        <w:instrText xml:space="preserve"> SEQ level0 \*arabic </w:instrText>
      </w:r>
      <w:r w:rsidRPr="00C24512">
        <w:rPr>
          <w:lang w:val="fr-FR"/>
        </w:rPr>
        <w:fldChar w:fldCharType="separate"/>
      </w:r>
      <w:r w:rsidR="00C24512" w:rsidRPr="00C24512">
        <w:rPr>
          <w:noProof/>
          <w:lang w:val="fr-FR"/>
        </w:rPr>
        <w:t>4</w:t>
      </w:r>
      <w:r w:rsidRPr="00C24512">
        <w:rPr>
          <w:lang w:val="fr-FR"/>
        </w:rPr>
        <w:fldChar w:fldCharType="end"/>
      </w:r>
      <w:r w:rsidRPr="00C24512">
        <w:rPr>
          <w:lang w:val="fr-FR"/>
        </w:rPr>
        <w:t>.  Le 19 septembre 2016, les organisations non</w:t>
      </w:r>
      <w:r w:rsidR="00F62ABF" w:rsidRPr="00C24512">
        <w:rPr>
          <w:lang w:val="fr-FR"/>
        </w:rPr>
        <w:t xml:space="preserve"> </w:t>
      </w:r>
      <w:r w:rsidRPr="00C24512">
        <w:rPr>
          <w:lang w:val="fr-FR"/>
        </w:rPr>
        <w:t xml:space="preserve">gouvernementales </w:t>
      </w:r>
      <w:r w:rsidRPr="00C24512">
        <w:rPr>
          <w:i/>
          <w:lang w:val="fr-FR"/>
        </w:rPr>
        <w:t xml:space="preserve">Alliance </w:t>
      </w:r>
      <w:proofErr w:type="spellStart"/>
      <w:r w:rsidRPr="00C24512">
        <w:rPr>
          <w:i/>
          <w:lang w:val="fr-FR"/>
        </w:rPr>
        <w:t>Defending</w:t>
      </w:r>
      <w:proofErr w:type="spellEnd"/>
      <w:r w:rsidRPr="00C24512">
        <w:rPr>
          <w:i/>
          <w:lang w:val="fr-FR"/>
        </w:rPr>
        <w:t xml:space="preserve"> </w:t>
      </w:r>
      <w:proofErr w:type="spellStart"/>
      <w:r w:rsidRPr="00C24512">
        <w:rPr>
          <w:i/>
          <w:lang w:val="fr-FR"/>
        </w:rPr>
        <w:t>Freedom</w:t>
      </w:r>
      <w:proofErr w:type="spellEnd"/>
      <w:r w:rsidRPr="00C24512">
        <w:rPr>
          <w:lang w:val="fr-FR"/>
        </w:rPr>
        <w:t xml:space="preserve"> et </w:t>
      </w:r>
      <w:proofErr w:type="spellStart"/>
      <w:r w:rsidRPr="00C24512">
        <w:rPr>
          <w:i/>
          <w:lang w:val="fr-FR"/>
        </w:rPr>
        <w:t>Unione</w:t>
      </w:r>
      <w:proofErr w:type="spellEnd"/>
      <w:r w:rsidRPr="00C24512">
        <w:rPr>
          <w:i/>
          <w:lang w:val="fr-FR"/>
        </w:rPr>
        <w:t xml:space="preserve"> </w:t>
      </w:r>
      <w:proofErr w:type="spellStart"/>
      <w:r w:rsidRPr="00C24512">
        <w:rPr>
          <w:i/>
          <w:lang w:val="fr-FR"/>
        </w:rPr>
        <w:t>Giuristi</w:t>
      </w:r>
      <w:proofErr w:type="spellEnd"/>
      <w:r w:rsidRPr="00C24512">
        <w:rPr>
          <w:i/>
          <w:lang w:val="fr-FR"/>
        </w:rPr>
        <w:t xml:space="preserve"> </w:t>
      </w:r>
      <w:proofErr w:type="spellStart"/>
      <w:r w:rsidRPr="00C24512">
        <w:rPr>
          <w:i/>
          <w:lang w:val="fr-FR"/>
        </w:rPr>
        <w:t>Cattolici</w:t>
      </w:r>
      <w:proofErr w:type="spellEnd"/>
      <w:r w:rsidRPr="00C24512">
        <w:rPr>
          <w:i/>
          <w:lang w:val="fr-FR"/>
        </w:rPr>
        <w:t xml:space="preserve"> </w:t>
      </w:r>
      <w:proofErr w:type="spellStart"/>
      <w:r w:rsidRPr="00C24512">
        <w:rPr>
          <w:i/>
          <w:lang w:val="fr-FR"/>
        </w:rPr>
        <w:t>Italiani</w:t>
      </w:r>
      <w:proofErr w:type="spellEnd"/>
      <w:r w:rsidRPr="00C24512">
        <w:rPr>
          <w:lang w:val="fr-FR"/>
        </w:rPr>
        <w:t>, se sont vu accorder l</w:t>
      </w:r>
      <w:r w:rsidR="00C24512" w:rsidRPr="00C24512">
        <w:rPr>
          <w:lang w:val="fr-FR"/>
        </w:rPr>
        <w:t>’</w:t>
      </w:r>
      <w:r w:rsidRPr="00C24512">
        <w:rPr>
          <w:lang w:val="fr-FR"/>
        </w:rPr>
        <w:t>autorisation d</w:t>
      </w:r>
      <w:r w:rsidR="00C24512" w:rsidRPr="00C24512">
        <w:rPr>
          <w:lang w:val="fr-FR"/>
        </w:rPr>
        <w:t>’</w:t>
      </w:r>
      <w:r w:rsidRPr="00C24512">
        <w:rPr>
          <w:lang w:val="fr-FR"/>
        </w:rPr>
        <w:t>intervenir conjointement dans la procédure écrite (article 36 § 2 de la Convention et article 44 § 3 du règlement de la Cour).</w:t>
      </w:r>
    </w:p>
    <w:p w:rsidR="005B5811" w:rsidRPr="00C24512" w:rsidRDefault="005B5811" w:rsidP="00C24512">
      <w:pPr>
        <w:pStyle w:val="ECHRTitle1"/>
        <w:tabs>
          <w:tab w:val="left" w:pos="5387"/>
        </w:tabs>
        <w:rPr>
          <w:lang w:val="fr-FR"/>
        </w:rPr>
      </w:pPr>
      <w:r w:rsidRPr="00C24512">
        <w:rPr>
          <w:lang w:val="fr-FR"/>
        </w:rPr>
        <w:t>EN FAIT</w:t>
      </w:r>
    </w:p>
    <w:p w:rsidR="005B5811" w:rsidRPr="00C24512" w:rsidRDefault="005B5811" w:rsidP="00C24512">
      <w:pPr>
        <w:pStyle w:val="ECHRHeading1"/>
        <w:rPr>
          <w:lang w:val="fr-FR"/>
        </w:rPr>
      </w:pPr>
      <w:r w:rsidRPr="00C24512">
        <w:rPr>
          <w:lang w:val="fr-FR"/>
        </w:rPr>
        <w:t>I.  LES CIRCONSTANCES DE L</w:t>
      </w:r>
      <w:r w:rsidR="00C24512" w:rsidRPr="00C24512">
        <w:rPr>
          <w:lang w:val="fr-FR"/>
        </w:rPr>
        <w:t>’</w:t>
      </w:r>
      <w:r w:rsidRPr="00C24512">
        <w:rPr>
          <w:lang w:val="fr-FR"/>
        </w:rPr>
        <w:t>ESPÈCE</w:t>
      </w:r>
    </w:p>
    <w:p w:rsidR="005B5811" w:rsidRPr="00C24512" w:rsidRDefault="005B5811" w:rsidP="00C24512">
      <w:pPr>
        <w:pStyle w:val="ECHRPara"/>
        <w:rPr>
          <w:lang w:val="fr-FR"/>
        </w:rPr>
      </w:pPr>
      <w:r w:rsidRPr="00C24512">
        <w:rPr>
          <w:lang w:val="fr-FR"/>
        </w:rPr>
        <w:fldChar w:fldCharType="begin"/>
      </w:r>
      <w:r w:rsidRPr="00C24512">
        <w:rPr>
          <w:lang w:val="fr-FR"/>
        </w:rPr>
        <w:instrText xml:space="preserve"> SEQ level0 \*arabic </w:instrText>
      </w:r>
      <w:r w:rsidRPr="00C24512">
        <w:rPr>
          <w:lang w:val="fr-FR"/>
        </w:rPr>
        <w:fldChar w:fldCharType="separate"/>
      </w:r>
      <w:r w:rsidR="00C24512" w:rsidRPr="00C24512">
        <w:rPr>
          <w:noProof/>
          <w:lang w:val="fr-FR"/>
        </w:rPr>
        <w:t>5</w:t>
      </w:r>
      <w:r w:rsidRPr="00C24512">
        <w:rPr>
          <w:lang w:val="fr-FR"/>
        </w:rPr>
        <w:fldChar w:fldCharType="end"/>
      </w:r>
      <w:r w:rsidRPr="00C24512">
        <w:rPr>
          <w:lang w:val="fr-FR"/>
        </w:rPr>
        <w:t xml:space="preserve">.  La requérante est née en 1965 et réside à </w:t>
      </w:r>
      <w:proofErr w:type="spellStart"/>
      <w:r w:rsidRPr="00C24512">
        <w:rPr>
          <w:lang w:val="fr-FR"/>
        </w:rPr>
        <w:t>Ostia</w:t>
      </w:r>
      <w:proofErr w:type="spellEnd"/>
      <w:r w:rsidRPr="00C24512">
        <w:rPr>
          <w:lang w:val="fr-FR"/>
        </w:rPr>
        <w:t xml:space="preserve"> Lido.</w:t>
      </w:r>
    </w:p>
    <w:p w:rsidR="005B5811" w:rsidRPr="00C24512" w:rsidRDefault="005B5811" w:rsidP="00C24512">
      <w:pPr>
        <w:pStyle w:val="ECHRPara"/>
        <w:rPr>
          <w:lang w:val="fr-FR"/>
        </w:rPr>
      </w:pPr>
      <w:r w:rsidRPr="00C24512">
        <w:rPr>
          <w:lang w:val="fr-FR"/>
        </w:rPr>
        <w:fldChar w:fldCharType="begin"/>
      </w:r>
      <w:r w:rsidRPr="00C24512">
        <w:rPr>
          <w:lang w:val="fr-FR"/>
        </w:rPr>
        <w:instrText xml:space="preserve"> SEQ level0 \*arabic </w:instrText>
      </w:r>
      <w:r w:rsidRPr="00C24512">
        <w:rPr>
          <w:lang w:val="fr-FR"/>
        </w:rPr>
        <w:fldChar w:fldCharType="separate"/>
      </w:r>
      <w:r w:rsidR="00C24512" w:rsidRPr="00C24512">
        <w:rPr>
          <w:noProof/>
          <w:lang w:val="fr-FR"/>
        </w:rPr>
        <w:t>6</w:t>
      </w:r>
      <w:r w:rsidRPr="00C24512">
        <w:rPr>
          <w:lang w:val="fr-FR"/>
        </w:rPr>
        <w:fldChar w:fldCharType="end"/>
      </w:r>
      <w:r w:rsidRPr="00C24512">
        <w:rPr>
          <w:lang w:val="fr-FR"/>
        </w:rPr>
        <w:t>.  </w:t>
      </w:r>
      <w:r w:rsidR="00E96DED" w:rsidRPr="00C24512">
        <w:rPr>
          <w:lang w:val="fr-FR"/>
        </w:rPr>
        <w:t>À</w:t>
      </w:r>
      <w:r w:rsidRPr="00C24512">
        <w:rPr>
          <w:lang w:val="fr-FR"/>
        </w:rPr>
        <w:t xml:space="preserve"> sa naissance, la requérante fut inscrite sur les registres d</w:t>
      </w:r>
      <w:r w:rsidR="00C24512" w:rsidRPr="00C24512">
        <w:rPr>
          <w:lang w:val="fr-FR"/>
        </w:rPr>
        <w:t>’</w:t>
      </w:r>
      <w:r w:rsidRPr="00C24512">
        <w:rPr>
          <w:lang w:val="fr-FR"/>
        </w:rPr>
        <w:t xml:space="preserve">état civil comme étant de sexe masculin et fut prénommée « L. ». </w:t>
      </w:r>
      <w:r w:rsidR="002021F7" w:rsidRPr="00C24512">
        <w:rPr>
          <w:lang w:val="fr-FR"/>
        </w:rPr>
        <w:t>Toutefois, s</w:t>
      </w:r>
      <w:r w:rsidRPr="00C24512">
        <w:rPr>
          <w:lang w:val="fr-FR"/>
        </w:rPr>
        <w:t xml:space="preserve">on identité sexuelle a </w:t>
      </w:r>
      <w:r w:rsidR="00120023" w:rsidRPr="00C24512">
        <w:rPr>
          <w:lang w:val="fr-FR"/>
        </w:rPr>
        <w:t>d</w:t>
      </w:r>
      <w:r w:rsidR="00C24512" w:rsidRPr="00C24512">
        <w:rPr>
          <w:lang w:val="fr-FR"/>
        </w:rPr>
        <w:t>’</w:t>
      </w:r>
      <w:r w:rsidR="00120023" w:rsidRPr="00C24512">
        <w:rPr>
          <w:lang w:val="fr-FR"/>
        </w:rPr>
        <w:t xml:space="preserve">après elle </w:t>
      </w:r>
      <w:r w:rsidRPr="00C24512">
        <w:rPr>
          <w:lang w:val="fr-FR"/>
        </w:rPr>
        <w:t>toujours été féminine</w:t>
      </w:r>
      <w:r w:rsidR="00120023" w:rsidRPr="00C24512">
        <w:rPr>
          <w:lang w:val="fr-FR"/>
        </w:rPr>
        <w:t>. L</w:t>
      </w:r>
      <w:r w:rsidR="00C24512" w:rsidRPr="00C24512">
        <w:rPr>
          <w:lang w:val="fr-FR"/>
        </w:rPr>
        <w:t>’</w:t>
      </w:r>
      <w:r w:rsidR="002021F7" w:rsidRPr="00C24512">
        <w:rPr>
          <w:lang w:val="fr-FR"/>
        </w:rPr>
        <w:t>intéressée</w:t>
      </w:r>
      <w:r w:rsidRPr="00C24512">
        <w:rPr>
          <w:lang w:val="fr-FR"/>
        </w:rPr>
        <w:t xml:space="preserve"> a </w:t>
      </w:r>
      <w:r w:rsidR="00120023" w:rsidRPr="00C24512">
        <w:rPr>
          <w:lang w:val="fr-FR"/>
        </w:rPr>
        <w:t xml:space="preserve">ainsi </w:t>
      </w:r>
      <w:r w:rsidRPr="00C24512">
        <w:rPr>
          <w:lang w:val="fr-FR"/>
        </w:rPr>
        <w:lastRenderedPageBreak/>
        <w:t xml:space="preserve">mené une vie sociale en tant que femme sous le prénom de « S. ». </w:t>
      </w:r>
      <w:r w:rsidR="00120023" w:rsidRPr="00C24512">
        <w:rPr>
          <w:lang w:val="fr-FR"/>
        </w:rPr>
        <w:t>Par exemple</w:t>
      </w:r>
      <w:r w:rsidR="001F58CB" w:rsidRPr="00C24512">
        <w:rPr>
          <w:lang w:val="fr-FR"/>
        </w:rPr>
        <w:t>, la requérante</w:t>
      </w:r>
      <w:r w:rsidR="002021F7" w:rsidRPr="00C24512">
        <w:rPr>
          <w:lang w:val="fr-FR"/>
        </w:rPr>
        <w:t xml:space="preserve">, </w:t>
      </w:r>
      <w:r w:rsidRPr="00C24512">
        <w:rPr>
          <w:lang w:val="fr-FR"/>
        </w:rPr>
        <w:t>employée depuis 1999 en tant que fonctionnaire publique</w:t>
      </w:r>
      <w:r w:rsidR="002021F7" w:rsidRPr="00C24512">
        <w:rPr>
          <w:lang w:val="fr-FR"/>
        </w:rPr>
        <w:t>, a toujours été appelée « S. » par</w:t>
      </w:r>
      <w:r w:rsidRPr="00C24512">
        <w:rPr>
          <w:lang w:val="fr-FR"/>
        </w:rPr>
        <w:t xml:space="preserve"> ses collègues. </w:t>
      </w:r>
      <w:r w:rsidR="001F58CB" w:rsidRPr="00C24512">
        <w:rPr>
          <w:lang w:val="fr-FR"/>
        </w:rPr>
        <w:t>S</w:t>
      </w:r>
      <w:r w:rsidR="00DE396F" w:rsidRPr="00C24512">
        <w:rPr>
          <w:lang w:val="fr-FR"/>
        </w:rPr>
        <w:t>ur</w:t>
      </w:r>
      <w:r w:rsidRPr="00C24512">
        <w:rPr>
          <w:lang w:val="fr-FR"/>
        </w:rPr>
        <w:t xml:space="preserve"> la photo</w:t>
      </w:r>
      <w:r w:rsidR="00E96DED" w:rsidRPr="00C24512">
        <w:rPr>
          <w:lang w:val="fr-FR"/>
        </w:rPr>
        <w:t>graphie</w:t>
      </w:r>
      <w:r w:rsidRPr="00C24512">
        <w:rPr>
          <w:lang w:val="fr-FR"/>
        </w:rPr>
        <w:t xml:space="preserve"> de sa carte d</w:t>
      </w:r>
      <w:r w:rsidR="00C24512" w:rsidRPr="00C24512">
        <w:rPr>
          <w:lang w:val="fr-FR"/>
        </w:rPr>
        <w:t>’</w:t>
      </w:r>
      <w:r w:rsidRPr="00C24512">
        <w:rPr>
          <w:lang w:val="fr-FR"/>
        </w:rPr>
        <w:t>identité</w:t>
      </w:r>
      <w:r w:rsidR="001F58CB" w:rsidRPr="00C24512">
        <w:rPr>
          <w:lang w:val="fr-FR"/>
        </w:rPr>
        <w:t>,</w:t>
      </w:r>
      <w:r w:rsidRPr="00C24512">
        <w:rPr>
          <w:lang w:val="fr-FR"/>
        </w:rPr>
        <w:t xml:space="preserve"> éditée en août 2000, </w:t>
      </w:r>
      <w:r w:rsidR="00DE396F" w:rsidRPr="00C24512">
        <w:rPr>
          <w:lang w:val="fr-FR"/>
        </w:rPr>
        <w:t>son apparence est celle d</w:t>
      </w:r>
      <w:r w:rsidR="00C24512" w:rsidRPr="00C24512">
        <w:rPr>
          <w:lang w:val="fr-FR"/>
        </w:rPr>
        <w:t>’</w:t>
      </w:r>
      <w:r w:rsidR="00DE396F" w:rsidRPr="00C24512">
        <w:rPr>
          <w:lang w:val="fr-FR"/>
        </w:rPr>
        <w:t xml:space="preserve">une </w:t>
      </w:r>
      <w:r w:rsidRPr="00C24512">
        <w:rPr>
          <w:lang w:val="fr-FR"/>
        </w:rPr>
        <w:t>femme.</w:t>
      </w:r>
    </w:p>
    <w:p w:rsidR="005B5811" w:rsidRPr="00C24512" w:rsidRDefault="005B5811" w:rsidP="00C24512">
      <w:pPr>
        <w:pStyle w:val="ECHRPara"/>
        <w:rPr>
          <w:lang w:val="fr-FR"/>
        </w:rPr>
      </w:pPr>
      <w:r w:rsidRPr="00C24512">
        <w:rPr>
          <w:lang w:val="fr-FR"/>
        </w:rPr>
        <w:fldChar w:fldCharType="begin"/>
      </w:r>
      <w:r w:rsidRPr="00C24512">
        <w:rPr>
          <w:lang w:val="fr-FR"/>
        </w:rPr>
        <w:instrText xml:space="preserve"> SEQ level0 \*arabic </w:instrText>
      </w:r>
      <w:r w:rsidRPr="00C24512">
        <w:rPr>
          <w:lang w:val="fr-FR"/>
        </w:rPr>
        <w:fldChar w:fldCharType="separate"/>
      </w:r>
      <w:r w:rsidR="00C24512" w:rsidRPr="00C24512">
        <w:rPr>
          <w:noProof/>
          <w:lang w:val="fr-FR"/>
        </w:rPr>
        <w:t>7</w:t>
      </w:r>
      <w:r w:rsidRPr="00C24512">
        <w:rPr>
          <w:lang w:val="fr-FR"/>
        </w:rPr>
        <w:fldChar w:fldCharType="end"/>
      </w:r>
      <w:r w:rsidRPr="00C24512">
        <w:rPr>
          <w:lang w:val="fr-FR"/>
        </w:rPr>
        <w:t>.  En 1999, dans le cadre de son parcours de transition sexuelle, la requérante débuta un traitement hormonal féminisant.</w:t>
      </w:r>
    </w:p>
    <w:p w:rsidR="005B5811" w:rsidRPr="00C24512" w:rsidRDefault="005B5811" w:rsidP="00C24512">
      <w:pPr>
        <w:pStyle w:val="ECHRPara"/>
        <w:rPr>
          <w:lang w:val="fr-FR"/>
        </w:rPr>
      </w:pPr>
      <w:r w:rsidRPr="00C24512">
        <w:rPr>
          <w:lang w:val="fr-FR"/>
        </w:rPr>
        <w:fldChar w:fldCharType="begin"/>
      </w:r>
      <w:r w:rsidRPr="00C24512">
        <w:rPr>
          <w:lang w:val="fr-FR"/>
        </w:rPr>
        <w:instrText xml:space="preserve"> SEQ level0 \*arabic </w:instrText>
      </w:r>
      <w:r w:rsidRPr="00C24512">
        <w:rPr>
          <w:lang w:val="fr-FR"/>
        </w:rPr>
        <w:fldChar w:fldCharType="separate"/>
      </w:r>
      <w:r w:rsidR="00C24512" w:rsidRPr="00C24512">
        <w:rPr>
          <w:noProof/>
          <w:lang w:val="fr-FR"/>
        </w:rPr>
        <w:t>8</w:t>
      </w:r>
      <w:r w:rsidRPr="00C24512">
        <w:rPr>
          <w:lang w:val="fr-FR"/>
        </w:rPr>
        <w:fldChar w:fldCharType="end"/>
      </w:r>
      <w:r w:rsidRPr="00C24512">
        <w:rPr>
          <w:lang w:val="fr-FR"/>
        </w:rPr>
        <w:t>.  Le 9 novembre 2000, elle saisit le tribunal civil de Rome d</w:t>
      </w:r>
      <w:r w:rsidR="00C24512" w:rsidRPr="00C24512">
        <w:rPr>
          <w:lang w:val="fr-FR"/>
        </w:rPr>
        <w:t>’</w:t>
      </w:r>
      <w:r w:rsidRPr="00C24512">
        <w:rPr>
          <w:lang w:val="fr-FR"/>
        </w:rPr>
        <w:t xml:space="preserve">une demande </w:t>
      </w:r>
      <w:r w:rsidR="007D297F" w:rsidRPr="00C24512">
        <w:rPr>
          <w:lang w:val="fr-FR"/>
        </w:rPr>
        <w:t>fondée sur</w:t>
      </w:r>
      <w:r w:rsidRPr="00C24512">
        <w:rPr>
          <w:lang w:val="fr-FR"/>
        </w:rPr>
        <w:t xml:space="preserve"> l</w:t>
      </w:r>
      <w:r w:rsidR="00C24512" w:rsidRPr="00C24512">
        <w:rPr>
          <w:lang w:val="fr-FR"/>
        </w:rPr>
        <w:t>’</w:t>
      </w:r>
      <w:r w:rsidRPr="00C24512">
        <w:rPr>
          <w:lang w:val="fr-FR"/>
        </w:rPr>
        <w:t>article 3 de la loi n</w:t>
      </w:r>
      <w:r w:rsidRPr="00C24512">
        <w:rPr>
          <w:vertAlign w:val="superscript"/>
          <w:lang w:val="fr-FR"/>
        </w:rPr>
        <w:t>o</w:t>
      </w:r>
      <w:r w:rsidRPr="00C24512">
        <w:rPr>
          <w:lang w:val="fr-FR"/>
        </w:rPr>
        <w:t xml:space="preserve"> 164 de 1982. Elle </w:t>
      </w:r>
      <w:r w:rsidR="00E96DED" w:rsidRPr="00C24512">
        <w:rPr>
          <w:lang w:val="fr-FR"/>
        </w:rPr>
        <w:t>y indiquait</w:t>
      </w:r>
      <w:r w:rsidRPr="00C24512">
        <w:rPr>
          <w:lang w:val="fr-FR"/>
        </w:rPr>
        <w:t xml:space="preserve"> vouloir conclure son parcours de transition par la modification définitive de ses caractères sexuels primaires et </w:t>
      </w:r>
      <w:r w:rsidR="00E96DED" w:rsidRPr="00C24512">
        <w:rPr>
          <w:lang w:val="fr-FR"/>
        </w:rPr>
        <w:t>sollicitait</w:t>
      </w:r>
      <w:r w:rsidRPr="00C24512">
        <w:rPr>
          <w:lang w:val="fr-FR"/>
        </w:rPr>
        <w:t xml:space="preserve"> l</w:t>
      </w:r>
      <w:r w:rsidR="00C24512" w:rsidRPr="00C24512">
        <w:rPr>
          <w:lang w:val="fr-FR"/>
        </w:rPr>
        <w:t>’</w:t>
      </w:r>
      <w:r w:rsidRPr="00C24512">
        <w:rPr>
          <w:lang w:val="fr-FR"/>
        </w:rPr>
        <w:t xml:space="preserve">autorisation </w:t>
      </w:r>
      <w:r w:rsidR="00E96DED" w:rsidRPr="00C24512">
        <w:rPr>
          <w:lang w:val="fr-FR"/>
        </w:rPr>
        <w:t>de recourir à</w:t>
      </w:r>
      <w:r w:rsidRPr="00C24512">
        <w:rPr>
          <w:lang w:val="fr-FR"/>
        </w:rPr>
        <w:t xml:space="preserve"> une opération chirurgicale de </w:t>
      </w:r>
      <w:r w:rsidR="006A23AD" w:rsidRPr="00C24512">
        <w:rPr>
          <w:lang w:val="fr-FR"/>
        </w:rPr>
        <w:t>conversion</w:t>
      </w:r>
      <w:r w:rsidR="007D297F" w:rsidRPr="00C24512">
        <w:rPr>
          <w:lang w:val="fr-FR"/>
        </w:rPr>
        <w:t xml:space="preserve"> sexuelle</w:t>
      </w:r>
      <w:r w:rsidRPr="00C24512">
        <w:rPr>
          <w:lang w:val="fr-FR"/>
        </w:rPr>
        <w:t>.</w:t>
      </w:r>
    </w:p>
    <w:p w:rsidR="005B5811" w:rsidRPr="00C24512" w:rsidRDefault="005B5811" w:rsidP="00C24512">
      <w:pPr>
        <w:pStyle w:val="ECHRPara"/>
        <w:rPr>
          <w:lang w:val="fr-FR"/>
        </w:rPr>
      </w:pPr>
      <w:r w:rsidRPr="00C24512">
        <w:rPr>
          <w:lang w:val="fr-FR"/>
        </w:rPr>
        <w:fldChar w:fldCharType="begin"/>
      </w:r>
      <w:r w:rsidRPr="00C24512">
        <w:rPr>
          <w:lang w:val="fr-FR"/>
        </w:rPr>
        <w:instrText xml:space="preserve"> SEQ level0 \*arabic </w:instrText>
      </w:r>
      <w:r w:rsidRPr="00C24512">
        <w:rPr>
          <w:lang w:val="fr-FR"/>
        </w:rPr>
        <w:fldChar w:fldCharType="separate"/>
      </w:r>
      <w:r w:rsidR="00C24512" w:rsidRPr="00C24512">
        <w:rPr>
          <w:noProof/>
          <w:lang w:val="fr-FR"/>
        </w:rPr>
        <w:t>9</w:t>
      </w:r>
      <w:r w:rsidRPr="00C24512">
        <w:rPr>
          <w:lang w:val="fr-FR"/>
        </w:rPr>
        <w:fldChar w:fldCharType="end"/>
      </w:r>
      <w:r w:rsidRPr="00C24512">
        <w:rPr>
          <w:lang w:val="fr-FR"/>
        </w:rPr>
        <w:t xml:space="preserve">.  Par un jugement du 10 mai 2001, le tribunal constata que la requérante avait entrepris un parcours de transition sexuelle de manière réfléchie et, ayant pris acte de sa détermination, </w:t>
      </w:r>
      <w:r w:rsidR="00E96DED" w:rsidRPr="00C24512">
        <w:rPr>
          <w:lang w:val="fr-FR"/>
        </w:rPr>
        <w:t xml:space="preserve">il </w:t>
      </w:r>
      <w:r w:rsidRPr="00C24512">
        <w:rPr>
          <w:lang w:val="fr-FR"/>
        </w:rPr>
        <w:t>l</w:t>
      </w:r>
      <w:r w:rsidR="00C24512" w:rsidRPr="00C24512">
        <w:rPr>
          <w:lang w:val="fr-FR"/>
        </w:rPr>
        <w:t>’</w:t>
      </w:r>
      <w:r w:rsidRPr="00C24512">
        <w:rPr>
          <w:lang w:val="fr-FR"/>
        </w:rPr>
        <w:t xml:space="preserve">autorisa à </w:t>
      </w:r>
      <w:r w:rsidR="008279FA" w:rsidRPr="00C24512">
        <w:rPr>
          <w:lang w:val="fr-FR"/>
        </w:rPr>
        <w:t xml:space="preserve">recourir à la chirurgie </w:t>
      </w:r>
      <w:r w:rsidR="00E96DED" w:rsidRPr="00C24512">
        <w:rPr>
          <w:lang w:val="fr-FR"/>
        </w:rPr>
        <w:t>aux fins de mise</w:t>
      </w:r>
      <w:r w:rsidRPr="00C24512">
        <w:rPr>
          <w:lang w:val="fr-FR"/>
        </w:rPr>
        <w:t xml:space="preserve"> en harmonie </w:t>
      </w:r>
      <w:r w:rsidR="00E96DED" w:rsidRPr="00C24512">
        <w:rPr>
          <w:lang w:val="fr-FR"/>
        </w:rPr>
        <w:t xml:space="preserve">de </w:t>
      </w:r>
      <w:r w:rsidRPr="00C24512">
        <w:rPr>
          <w:lang w:val="fr-FR"/>
        </w:rPr>
        <w:t xml:space="preserve">ses caractères sexuels </w:t>
      </w:r>
      <w:r w:rsidR="00FA35EF" w:rsidRPr="00C24512">
        <w:rPr>
          <w:lang w:val="fr-FR"/>
        </w:rPr>
        <w:t xml:space="preserve">primaires </w:t>
      </w:r>
      <w:r w:rsidRPr="00C24512">
        <w:rPr>
          <w:lang w:val="fr-FR"/>
        </w:rPr>
        <w:t>avec son identité de genre féminin.</w:t>
      </w:r>
    </w:p>
    <w:p w:rsidR="005B5811" w:rsidRPr="00C24512" w:rsidRDefault="005B5811" w:rsidP="00C24512">
      <w:pPr>
        <w:pStyle w:val="ECHRPara"/>
        <w:rPr>
          <w:lang w:val="fr-FR"/>
        </w:rPr>
      </w:pPr>
      <w:r w:rsidRPr="00C24512">
        <w:rPr>
          <w:lang w:val="fr-FR"/>
        </w:rPr>
        <w:fldChar w:fldCharType="begin"/>
      </w:r>
      <w:r w:rsidRPr="00C24512">
        <w:rPr>
          <w:lang w:val="fr-FR"/>
        </w:rPr>
        <w:instrText xml:space="preserve"> SEQ level0 \*arabic </w:instrText>
      </w:r>
      <w:r w:rsidRPr="00C24512">
        <w:rPr>
          <w:lang w:val="fr-FR"/>
        </w:rPr>
        <w:fldChar w:fldCharType="separate"/>
      </w:r>
      <w:r w:rsidR="00C24512" w:rsidRPr="00C24512">
        <w:rPr>
          <w:noProof/>
          <w:lang w:val="fr-FR"/>
        </w:rPr>
        <w:t>10</w:t>
      </w:r>
      <w:r w:rsidRPr="00C24512">
        <w:rPr>
          <w:lang w:val="fr-FR"/>
        </w:rPr>
        <w:fldChar w:fldCharType="end"/>
      </w:r>
      <w:r w:rsidRPr="00C24512">
        <w:rPr>
          <w:lang w:val="fr-FR"/>
        </w:rPr>
        <w:t>.  Le 30 mai 2001, la requérante, en attendant de pouvoir effectuer l</w:t>
      </w:r>
      <w:r w:rsidR="00C24512" w:rsidRPr="00C24512">
        <w:rPr>
          <w:lang w:val="fr-FR"/>
        </w:rPr>
        <w:t>’</w:t>
      </w:r>
      <w:r w:rsidRPr="00C24512">
        <w:rPr>
          <w:lang w:val="fr-FR"/>
        </w:rPr>
        <w:t xml:space="preserve">intervention chirurgicale autorisée par le tribunal, demanda au préfet de Rome le changement de son prénom </w:t>
      </w:r>
      <w:r w:rsidR="00FE30F6" w:rsidRPr="00C24512">
        <w:rPr>
          <w:lang w:val="fr-FR"/>
        </w:rPr>
        <w:t>sur le fondement de</w:t>
      </w:r>
      <w:r w:rsidRPr="00C24512">
        <w:rPr>
          <w:lang w:val="fr-FR"/>
        </w:rPr>
        <w:t xml:space="preserve"> l</w:t>
      </w:r>
      <w:r w:rsidR="00C24512" w:rsidRPr="00C24512">
        <w:rPr>
          <w:lang w:val="fr-FR"/>
        </w:rPr>
        <w:t>’</w:t>
      </w:r>
      <w:r w:rsidRPr="00C24512">
        <w:rPr>
          <w:lang w:val="fr-FR"/>
        </w:rPr>
        <w:t xml:space="preserve">article 89 du décret </w:t>
      </w:r>
      <w:r w:rsidR="00232DF2" w:rsidRPr="00C24512">
        <w:rPr>
          <w:lang w:val="fr-FR"/>
        </w:rPr>
        <w:t xml:space="preserve">présidentiel </w:t>
      </w:r>
      <w:r w:rsidRPr="00C24512">
        <w:rPr>
          <w:lang w:val="fr-FR"/>
        </w:rPr>
        <w:t>n</w:t>
      </w:r>
      <w:r w:rsidRPr="00C24512">
        <w:rPr>
          <w:vertAlign w:val="superscript"/>
          <w:lang w:val="fr-FR"/>
        </w:rPr>
        <w:t>o</w:t>
      </w:r>
      <w:r w:rsidRPr="00C24512">
        <w:rPr>
          <w:lang w:val="fr-FR"/>
        </w:rPr>
        <w:t xml:space="preserve"> 396 de 2000. Elle </w:t>
      </w:r>
      <w:r w:rsidR="00232DF2" w:rsidRPr="00C24512">
        <w:rPr>
          <w:lang w:val="fr-FR"/>
        </w:rPr>
        <w:t>souten</w:t>
      </w:r>
      <w:r w:rsidR="00A316E3" w:rsidRPr="00C24512">
        <w:rPr>
          <w:lang w:val="fr-FR"/>
        </w:rPr>
        <w:t>ait</w:t>
      </w:r>
      <w:r w:rsidRPr="00C24512">
        <w:rPr>
          <w:lang w:val="fr-FR"/>
        </w:rPr>
        <w:t xml:space="preserve"> qu</w:t>
      </w:r>
      <w:r w:rsidR="00A316E3" w:rsidRPr="00C24512">
        <w:rPr>
          <w:lang w:val="fr-FR"/>
        </w:rPr>
        <w:t>e, étant donné son</w:t>
      </w:r>
      <w:r w:rsidRPr="00C24512">
        <w:rPr>
          <w:lang w:val="fr-FR"/>
        </w:rPr>
        <w:t xml:space="preserve"> parcours de transition sexuelle</w:t>
      </w:r>
      <w:r w:rsidR="00A316E3" w:rsidRPr="00C24512">
        <w:rPr>
          <w:lang w:val="fr-FR"/>
        </w:rPr>
        <w:t>,</w:t>
      </w:r>
      <w:r w:rsidRPr="00C24512">
        <w:rPr>
          <w:lang w:val="fr-FR"/>
        </w:rPr>
        <w:t xml:space="preserve"> entrepris depuis plusieurs années</w:t>
      </w:r>
      <w:r w:rsidR="00A316E3" w:rsidRPr="00C24512">
        <w:rPr>
          <w:lang w:val="fr-FR"/>
        </w:rPr>
        <w:t>,</w:t>
      </w:r>
      <w:r w:rsidRPr="00C24512">
        <w:rPr>
          <w:lang w:val="fr-FR"/>
        </w:rPr>
        <w:t xml:space="preserve"> et compte tenu de son aspect physique, l</w:t>
      </w:r>
      <w:r w:rsidR="00C24512" w:rsidRPr="00C24512">
        <w:rPr>
          <w:lang w:val="fr-FR"/>
        </w:rPr>
        <w:t>’</w:t>
      </w:r>
      <w:r w:rsidRPr="00C24512">
        <w:rPr>
          <w:lang w:val="fr-FR"/>
        </w:rPr>
        <w:t>indication d</w:t>
      </w:r>
      <w:r w:rsidR="00C24512" w:rsidRPr="00C24512">
        <w:rPr>
          <w:lang w:val="fr-FR"/>
        </w:rPr>
        <w:t>’</w:t>
      </w:r>
      <w:r w:rsidRPr="00C24512">
        <w:rPr>
          <w:lang w:val="fr-FR"/>
        </w:rPr>
        <w:t>un prénom masculin sur ses documents d</w:t>
      </w:r>
      <w:r w:rsidR="00C24512" w:rsidRPr="00C24512">
        <w:rPr>
          <w:lang w:val="fr-FR"/>
        </w:rPr>
        <w:t>’</w:t>
      </w:r>
      <w:r w:rsidRPr="00C24512">
        <w:rPr>
          <w:lang w:val="fr-FR"/>
        </w:rPr>
        <w:t xml:space="preserve">identité était </w:t>
      </w:r>
      <w:r w:rsidR="00232DF2" w:rsidRPr="00C24512">
        <w:rPr>
          <w:lang w:val="fr-FR"/>
        </w:rPr>
        <w:t xml:space="preserve">un </w:t>
      </w:r>
      <w:r w:rsidRPr="00C24512">
        <w:rPr>
          <w:lang w:val="fr-FR"/>
        </w:rPr>
        <w:t>motif d</w:t>
      </w:r>
      <w:r w:rsidR="00C24512" w:rsidRPr="00C24512">
        <w:rPr>
          <w:lang w:val="fr-FR"/>
        </w:rPr>
        <w:t>’</w:t>
      </w:r>
      <w:r w:rsidRPr="00C24512">
        <w:rPr>
          <w:lang w:val="fr-FR"/>
        </w:rPr>
        <w:t>humiliation et d</w:t>
      </w:r>
      <w:r w:rsidR="00C24512" w:rsidRPr="00C24512">
        <w:rPr>
          <w:lang w:val="fr-FR"/>
        </w:rPr>
        <w:t>’</w:t>
      </w:r>
      <w:r w:rsidRPr="00C24512">
        <w:rPr>
          <w:lang w:val="fr-FR"/>
        </w:rPr>
        <w:t xml:space="preserve">embarras permanent. </w:t>
      </w:r>
      <w:r w:rsidR="009F4DBD" w:rsidRPr="00C24512">
        <w:rPr>
          <w:lang w:val="fr-FR"/>
        </w:rPr>
        <w:t>De plus, e</w:t>
      </w:r>
      <w:r w:rsidRPr="00C24512">
        <w:rPr>
          <w:lang w:val="fr-FR"/>
        </w:rPr>
        <w:t xml:space="preserve">lle </w:t>
      </w:r>
      <w:r w:rsidR="009F4DBD" w:rsidRPr="00C24512">
        <w:rPr>
          <w:lang w:val="fr-FR"/>
        </w:rPr>
        <w:t>affirmait</w:t>
      </w:r>
      <w:r w:rsidRPr="00C24512">
        <w:rPr>
          <w:lang w:val="fr-FR"/>
        </w:rPr>
        <w:t xml:space="preserve"> que les délais d</w:t>
      </w:r>
      <w:r w:rsidR="00C24512" w:rsidRPr="00C24512">
        <w:rPr>
          <w:lang w:val="fr-FR"/>
        </w:rPr>
        <w:t>’</w:t>
      </w:r>
      <w:r w:rsidRPr="00C24512">
        <w:rPr>
          <w:lang w:val="fr-FR"/>
        </w:rPr>
        <w:t>attente pour l</w:t>
      </w:r>
      <w:r w:rsidR="00C24512" w:rsidRPr="00C24512">
        <w:rPr>
          <w:lang w:val="fr-FR"/>
        </w:rPr>
        <w:t>’</w:t>
      </w:r>
      <w:r w:rsidRPr="00C24512">
        <w:rPr>
          <w:lang w:val="fr-FR"/>
        </w:rPr>
        <w:t>intervention chirurgicale étaient de quatre ans environ.</w:t>
      </w:r>
    </w:p>
    <w:p w:rsidR="005B5811" w:rsidRPr="00C24512" w:rsidRDefault="005B5811" w:rsidP="00C24512">
      <w:pPr>
        <w:pStyle w:val="ECHRPara"/>
        <w:rPr>
          <w:lang w:val="fr-FR"/>
        </w:rPr>
      </w:pPr>
      <w:r w:rsidRPr="00C24512">
        <w:rPr>
          <w:lang w:val="fr-FR"/>
        </w:rPr>
        <w:fldChar w:fldCharType="begin"/>
      </w:r>
      <w:r w:rsidRPr="00C24512">
        <w:rPr>
          <w:lang w:val="fr-FR"/>
        </w:rPr>
        <w:instrText xml:space="preserve"> SEQ level0 \*arabic </w:instrText>
      </w:r>
      <w:r w:rsidRPr="00C24512">
        <w:rPr>
          <w:lang w:val="fr-FR"/>
        </w:rPr>
        <w:fldChar w:fldCharType="separate"/>
      </w:r>
      <w:r w:rsidR="00C24512" w:rsidRPr="00C24512">
        <w:rPr>
          <w:noProof/>
          <w:lang w:val="fr-FR"/>
        </w:rPr>
        <w:t>11</w:t>
      </w:r>
      <w:r w:rsidRPr="00C24512">
        <w:rPr>
          <w:lang w:val="fr-FR"/>
        </w:rPr>
        <w:fldChar w:fldCharType="end"/>
      </w:r>
      <w:r w:rsidRPr="00C24512">
        <w:rPr>
          <w:lang w:val="fr-FR"/>
        </w:rPr>
        <w:t>.  Par une décision du 4 juillet 2001, le préfet rejeta la demande de la requérante</w:t>
      </w:r>
      <w:r w:rsidR="00A316E3" w:rsidRPr="00C24512">
        <w:rPr>
          <w:lang w:val="fr-FR"/>
        </w:rPr>
        <w:t>, au motif que, d</w:t>
      </w:r>
      <w:r w:rsidR="00C24512" w:rsidRPr="00C24512">
        <w:rPr>
          <w:lang w:val="fr-FR"/>
        </w:rPr>
        <w:t>’</w:t>
      </w:r>
      <w:r w:rsidR="00A316E3" w:rsidRPr="00C24512">
        <w:rPr>
          <w:lang w:val="fr-FR"/>
        </w:rPr>
        <w:t>après le</w:t>
      </w:r>
      <w:r w:rsidR="003D530A" w:rsidRPr="00C24512">
        <w:rPr>
          <w:lang w:val="fr-FR"/>
        </w:rPr>
        <w:t xml:space="preserve"> décret </w:t>
      </w:r>
      <w:r w:rsidR="00232DF2" w:rsidRPr="00C24512">
        <w:rPr>
          <w:lang w:val="fr-FR"/>
        </w:rPr>
        <w:t xml:space="preserve">présidentiel </w:t>
      </w:r>
      <w:r w:rsidR="003D530A" w:rsidRPr="00C24512">
        <w:rPr>
          <w:lang w:val="fr-FR"/>
        </w:rPr>
        <w:t>n</w:t>
      </w:r>
      <w:r w:rsidR="00671DC4" w:rsidRPr="00C24512">
        <w:rPr>
          <w:vertAlign w:val="superscript"/>
          <w:lang w:val="fr-FR"/>
        </w:rPr>
        <w:t>o</w:t>
      </w:r>
      <w:r w:rsidR="003D530A" w:rsidRPr="00C24512">
        <w:rPr>
          <w:lang w:val="fr-FR"/>
        </w:rPr>
        <w:t xml:space="preserve"> 396 de 2000,</w:t>
      </w:r>
      <w:r w:rsidRPr="00C24512">
        <w:rPr>
          <w:lang w:val="fr-FR"/>
        </w:rPr>
        <w:t xml:space="preserve"> le prénom d</w:t>
      </w:r>
      <w:r w:rsidR="00C24512" w:rsidRPr="00C24512">
        <w:rPr>
          <w:lang w:val="fr-FR"/>
        </w:rPr>
        <w:t>’</w:t>
      </w:r>
      <w:r w:rsidRPr="00C24512">
        <w:rPr>
          <w:lang w:val="fr-FR"/>
        </w:rPr>
        <w:t xml:space="preserve">une personne </w:t>
      </w:r>
      <w:r w:rsidR="00A316E3" w:rsidRPr="00C24512">
        <w:rPr>
          <w:lang w:val="fr-FR"/>
        </w:rPr>
        <w:t>devait</w:t>
      </w:r>
      <w:r w:rsidRPr="00C24512">
        <w:rPr>
          <w:lang w:val="fr-FR"/>
        </w:rPr>
        <w:t xml:space="preserve"> correspondre à son sexe. Or, </w:t>
      </w:r>
      <w:r w:rsidR="00A316E3" w:rsidRPr="00C24512">
        <w:rPr>
          <w:lang w:val="fr-FR"/>
        </w:rPr>
        <w:t xml:space="preserve">selon lui, </w:t>
      </w:r>
      <w:r w:rsidRPr="00C24512">
        <w:rPr>
          <w:lang w:val="fr-FR"/>
        </w:rPr>
        <w:t>en l</w:t>
      </w:r>
      <w:r w:rsidR="00C24512" w:rsidRPr="00C24512">
        <w:rPr>
          <w:lang w:val="fr-FR"/>
        </w:rPr>
        <w:t>’</w:t>
      </w:r>
      <w:r w:rsidRPr="00C24512">
        <w:rPr>
          <w:lang w:val="fr-FR"/>
        </w:rPr>
        <w:t>absence d</w:t>
      </w:r>
      <w:r w:rsidR="00C24512" w:rsidRPr="00C24512">
        <w:rPr>
          <w:lang w:val="fr-FR"/>
        </w:rPr>
        <w:t>’</w:t>
      </w:r>
      <w:r w:rsidRPr="00C24512">
        <w:rPr>
          <w:lang w:val="fr-FR"/>
        </w:rPr>
        <w:t>un</w:t>
      </w:r>
      <w:r w:rsidR="004D10AF" w:rsidRPr="00C24512">
        <w:rPr>
          <w:lang w:val="fr-FR"/>
        </w:rPr>
        <w:t>e décision judiciaire</w:t>
      </w:r>
      <w:r w:rsidR="003D530A" w:rsidRPr="00C24512">
        <w:rPr>
          <w:lang w:val="fr-FR"/>
        </w:rPr>
        <w:t xml:space="preserve"> définiti</w:t>
      </w:r>
      <w:r w:rsidR="004D10AF" w:rsidRPr="00C24512">
        <w:rPr>
          <w:lang w:val="fr-FR"/>
        </w:rPr>
        <w:t xml:space="preserve">ve </w:t>
      </w:r>
      <w:r w:rsidR="00645554" w:rsidRPr="00C24512">
        <w:rPr>
          <w:lang w:val="fr-FR"/>
        </w:rPr>
        <w:t>portant rectification de l</w:t>
      </w:r>
      <w:r w:rsidR="00C24512" w:rsidRPr="00C24512">
        <w:rPr>
          <w:lang w:val="fr-FR"/>
        </w:rPr>
        <w:t>’</w:t>
      </w:r>
      <w:r w:rsidR="00645554" w:rsidRPr="00C24512">
        <w:rPr>
          <w:lang w:val="fr-FR"/>
        </w:rPr>
        <w:t>attribution du sexe au sens de</w:t>
      </w:r>
      <w:r w:rsidR="004D10AF" w:rsidRPr="00C24512">
        <w:rPr>
          <w:lang w:val="fr-FR"/>
        </w:rPr>
        <w:t xml:space="preserve"> la loi n</w:t>
      </w:r>
      <w:r w:rsidR="00671DC4" w:rsidRPr="00C24512">
        <w:rPr>
          <w:vertAlign w:val="superscript"/>
          <w:lang w:val="fr-FR"/>
        </w:rPr>
        <w:t>o</w:t>
      </w:r>
      <w:r w:rsidR="004D10AF" w:rsidRPr="00C24512">
        <w:rPr>
          <w:lang w:val="fr-FR"/>
        </w:rPr>
        <w:t xml:space="preserve"> 164 de 1982, </w:t>
      </w:r>
      <w:r w:rsidR="003D530A" w:rsidRPr="00C24512">
        <w:rPr>
          <w:lang w:val="fr-FR"/>
        </w:rPr>
        <w:t>le</w:t>
      </w:r>
      <w:r w:rsidRPr="00C24512">
        <w:rPr>
          <w:lang w:val="fr-FR"/>
        </w:rPr>
        <w:t xml:space="preserve"> prénom </w:t>
      </w:r>
      <w:r w:rsidR="003D530A" w:rsidRPr="00C24512">
        <w:rPr>
          <w:lang w:val="fr-FR"/>
        </w:rPr>
        <w:t xml:space="preserve">de la requérante </w:t>
      </w:r>
      <w:r w:rsidRPr="00C24512">
        <w:rPr>
          <w:lang w:val="fr-FR"/>
        </w:rPr>
        <w:t>ne pouvait pas être modifié.</w:t>
      </w:r>
    </w:p>
    <w:p w:rsidR="005B5811" w:rsidRPr="00C24512" w:rsidRDefault="005B5811" w:rsidP="00C24512">
      <w:pPr>
        <w:pStyle w:val="ECHRPara"/>
        <w:rPr>
          <w:lang w:val="fr-FR"/>
        </w:rPr>
      </w:pPr>
      <w:r w:rsidRPr="00C24512">
        <w:rPr>
          <w:lang w:val="fr-FR"/>
        </w:rPr>
        <w:fldChar w:fldCharType="begin"/>
      </w:r>
      <w:r w:rsidRPr="00C24512">
        <w:rPr>
          <w:lang w:val="fr-FR"/>
        </w:rPr>
        <w:instrText xml:space="preserve"> SEQ level0 \*arabic </w:instrText>
      </w:r>
      <w:r w:rsidRPr="00C24512">
        <w:rPr>
          <w:lang w:val="fr-FR"/>
        </w:rPr>
        <w:fldChar w:fldCharType="separate"/>
      </w:r>
      <w:r w:rsidR="00C24512" w:rsidRPr="00C24512">
        <w:rPr>
          <w:noProof/>
          <w:lang w:val="fr-FR"/>
        </w:rPr>
        <w:t>12</w:t>
      </w:r>
      <w:r w:rsidRPr="00C24512">
        <w:rPr>
          <w:lang w:val="fr-FR"/>
        </w:rPr>
        <w:fldChar w:fldCharType="end"/>
      </w:r>
      <w:r w:rsidRPr="00C24512">
        <w:rPr>
          <w:lang w:val="fr-FR"/>
        </w:rPr>
        <w:t>.  La requérante attaqua ladite décision devant le tribunal administratif régional (TAR) du Latium. Dans son recours, elle demanda</w:t>
      </w:r>
      <w:r w:rsidR="00A316E3" w:rsidRPr="00C24512">
        <w:rPr>
          <w:lang w:val="fr-FR"/>
        </w:rPr>
        <w:t>it</w:t>
      </w:r>
      <w:r w:rsidRPr="00C24512">
        <w:rPr>
          <w:lang w:val="fr-FR"/>
        </w:rPr>
        <w:t xml:space="preserve"> également la suspension à titre provisoire de la décision du préfet.</w:t>
      </w:r>
    </w:p>
    <w:p w:rsidR="005B5811" w:rsidRPr="00C24512" w:rsidRDefault="005B5811" w:rsidP="00C24512">
      <w:pPr>
        <w:pStyle w:val="ECHRPara"/>
        <w:rPr>
          <w:lang w:val="fr-FR"/>
        </w:rPr>
      </w:pPr>
      <w:r w:rsidRPr="00C24512">
        <w:rPr>
          <w:lang w:val="fr-FR"/>
        </w:rPr>
        <w:fldChar w:fldCharType="begin"/>
      </w:r>
      <w:r w:rsidRPr="00C24512">
        <w:rPr>
          <w:lang w:val="fr-FR"/>
        </w:rPr>
        <w:instrText xml:space="preserve"> SEQ level0 \*arabic </w:instrText>
      </w:r>
      <w:r w:rsidRPr="00C24512">
        <w:rPr>
          <w:lang w:val="fr-FR"/>
        </w:rPr>
        <w:fldChar w:fldCharType="separate"/>
      </w:r>
      <w:r w:rsidR="00C24512" w:rsidRPr="00C24512">
        <w:rPr>
          <w:noProof/>
          <w:lang w:val="fr-FR"/>
        </w:rPr>
        <w:t>13</w:t>
      </w:r>
      <w:r w:rsidRPr="00C24512">
        <w:rPr>
          <w:lang w:val="fr-FR"/>
        </w:rPr>
        <w:fldChar w:fldCharType="end"/>
      </w:r>
      <w:r w:rsidRPr="00C24512">
        <w:rPr>
          <w:lang w:val="fr-FR"/>
        </w:rPr>
        <w:t xml:space="preserve">.  Le 23 juillet 2001, la requérante subit une </w:t>
      </w:r>
      <w:r w:rsidR="00753573" w:rsidRPr="00C24512">
        <w:rPr>
          <w:lang w:val="fr-FR"/>
        </w:rPr>
        <w:t>mammoplastie</w:t>
      </w:r>
      <w:r w:rsidRPr="00C24512">
        <w:rPr>
          <w:lang w:val="fr-FR"/>
        </w:rPr>
        <w:t>. Concernant l</w:t>
      </w:r>
      <w:r w:rsidR="00C24512" w:rsidRPr="00C24512">
        <w:rPr>
          <w:lang w:val="fr-FR"/>
        </w:rPr>
        <w:t>’</w:t>
      </w:r>
      <w:r w:rsidRPr="00C24512">
        <w:rPr>
          <w:lang w:val="fr-FR"/>
        </w:rPr>
        <w:t xml:space="preserve">intervention chirurgicale visant à </w:t>
      </w:r>
      <w:r w:rsidR="00D10CE1" w:rsidRPr="00C24512">
        <w:rPr>
          <w:lang w:val="fr-FR"/>
        </w:rPr>
        <w:t xml:space="preserve">la </w:t>
      </w:r>
      <w:r w:rsidRPr="00C24512">
        <w:rPr>
          <w:lang w:val="fr-FR"/>
        </w:rPr>
        <w:t>modifi</w:t>
      </w:r>
      <w:r w:rsidR="00D10CE1" w:rsidRPr="00C24512">
        <w:rPr>
          <w:lang w:val="fr-FR"/>
        </w:rPr>
        <w:t>cation de</w:t>
      </w:r>
      <w:r w:rsidRPr="00C24512">
        <w:rPr>
          <w:lang w:val="fr-FR"/>
        </w:rPr>
        <w:t xml:space="preserve"> ses caractères sexuels primaires, elle fut inscrite le 6</w:t>
      </w:r>
      <w:r w:rsidR="00D10CE1" w:rsidRPr="00C24512">
        <w:rPr>
          <w:lang w:val="fr-FR"/>
        </w:rPr>
        <w:t> </w:t>
      </w:r>
      <w:r w:rsidRPr="00C24512">
        <w:rPr>
          <w:lang w:val="fr-FR"/>
        </w:rPr>
        <w:t xml:space="preserve">septembre 2001 </w:t>
      </w:r>
      <w:r w:rsidR="00D10CE1" w:rsidRPr="00C24512">
        <w:rPr>
          <w:lang w:val="fr-FR"/>
        </w:rPr>
        <w:t>sur</w:t>
      </w:r>
      <w:r w:rsidR="00671DC4" w:rsidRPr="00C24512">
        <w:rPr>
          <w:lang w:val="fr-FR"/>
        </w:rPr>
        <w:t xml:space="preserve"> </w:t>
      </w:r>
      <w:r w:rsidRPr="00C24512">
        <w:rPr>
          <w:lang w:val="fr-FR"/>
        </w:rPr>
        <w:t>une liste d</w:t>
      </w:r>
      <w:r w:rsidR="00C24512" w:rsidRPr="00C24512">
        <w:rPr>
          <w:lang w:val="fr-FR"/>
        </w:rPr>
        <w:t>’</w:t>
      </w:r>
      <w:r w:rsidRPr="00C24512">
        <w:rPr>
          <w:lang w:val="fr-FR"/>
        </w:rPr>
        <w:t>attente auprès de la clinique universitaire de Trieste.</w:t>
      </w:r>
    </w:p>
    <w:p w:rsidR="005B5811" w:rsidRPr="00C24512" w:rsidRDefault="005B5811" w:rsidP="00C24512">
      <w:pPr>
        <w:pStyle w:val="ECHRPara"/>
        <w:rPr>
          <w:lang w:val="fr-FR"/>
        </w:rPr>
      </w:pPr>
      <w:r w:rsidRPr="00C24512">
        <w:rPr>
          <w:lang w:val="fr-FR"/>
        </w:rPr>
        <w:fldChar w:fldCharType="begin"/>
      </w:r>
      <w:r w:rsidRPr="00C24512">
        <w:rPr>
          <w:lang w:val="fr-FR"/>
        </w:rPr>
        <w:instrText xml:space="preserve"> SEQ level0 \*arabic </w:instrText>
      </w:r>
      <w:r w:rsidRPr="00C24512">
        <w:rPr>
          <w:lang w:val="fr-FR"/>
        </w:rPr>
        <w:fldChar w:fldCharType="separate"/>
      </w:r>
      <w:r w:rsidR="00C24512" w:rsidRPr="00C24512">
        <w:rPr>
          <w:noProof/>
          <w:lang w:val="fr-FR"/>
        </w:rPr>
        <w:t>14</w:t>
      </w:r>
      <w:r w:rsidRPr="00C24512">
        <w:rPr>
          <w:lang w:val="fr-FR"/>
        </w:rPr>
        <w:fldChar w:fldCharType="end"/>
      </w:r>
      <w:r w:rsidR="003D530A" w:rsidRPr="00C24512">
        <w:rPr>
          <w:lang w:val="fr-FR"/>
        </w:rPr>
        <w:t>.  Le 21 février 2002</w:t>
      </w:r>
      <w:r w:rsidRPr="00C24512">
        <w:rPr>
          <w:lang w:val="fr-FR"/>
        </w:rPr>
        <w:t>, le TAR refusa de suspendre à titre provisoire la décision du préfet.</w:t>
      </w:r>
    </w:p>
    <w:p w:rsidR="005B5811" w:rsidRPr="00C24512" w:rsidRDefault="005B5811" w:rsidP="00C24512">
      <w:pPr>
        <w:pStyle w:val="ECHRPara"/>
        <w:keepNext/>
        <w:keepLines/>
        <w:rPr>
          <w:lang w:val="fr-FR"/>
        </w:rPr>
      </w:pPr>
      <w:r w:rsidRPr="00C24512">
        <w:rPr>
          <w:lang w:val="fr-FR"/>
        </w:rPr>
        <w:lastRenderedPageBreak/>
        <w:fldChar w:fldCharType="begin"/>
      </w:r>
      <w:r w:rsidRPr="00C24512">
        <w:rPr>
          <w:lang w:val="fr-FR"/>
        </w:rPr>
        <w:instrText xml:space="preserve"> SEQ level0 \*arabic </w:instrText>
      </w:r>
      <w:r w:rsidRPr="00C24512">
        <w:rPr>
          <w:lang w:val="fr-FR"/>
        </w:rPr>
        <w:fldChar w:fldCharType="separate"/>
      </w:r>
      <w:r w:rsidR="00C24512" w:rsidRPr="00C24512">
        <w:rPr>
          <w:noProof/>
          <w:lang w:val="fr-FR"/>
        </w:rPr>
        <w:t>15</w:t>
      </w:r>
      <w:r w:rsidRPr="00C24512">
        <w:rPr>
          <w:lang w:val="fr-FR"/>
        </w:rPr>
        <w:fldChar w:fldCharType="end"/>
      </w:r>
      <w:r w:rsidRPr="00C24512">
        <w:rPr>
          <w:lang w:val="fr-FR"/>
        </w:rPr>
        <w:t xml:space="preserve">.  Le 3 février 2003, </w:t>
      </w:r>
      <w:r w:rsidR="000D5453" w:rsidRPr="00C24512">
        <w:rPr>
          <w:lang w:val="fr-FR"/>
        </w:rPr>
        <w:t xml:space="preserve">alors que </w:t>
      </w:r>
      <w:r w:rsidRPr="00C24512">
        <w:rPr>
          <w:lang w:val="fr-FR"/>
        </w:rPr>
        <w:t>la procédure devant le TAR éta</w:t>
      </w:r>
      <w:r w:rsidR="000D5453" w:rsidRPr="00C24512">
        <w:rPr>
          <w:lang w:val="fr-FR"/>
        </w:rPr>
        <w:t>i</w:t>
      </w:r>
      <w:r w:rsidRPr="00C24512">
        <w:rPr>
          <w:lang w:val="fr-FR"/>
        </w:rPr>
        <w:t xml:space="preserve">t toujours pendante </w:t>
      </w:r>
      <w:r w:rsidR="000D5453" w:rsidRPr="00C24512">
        <w:rPr>
          <w:lang w:val="fr-FR"/>
        </w:rPr>
        <w:t>au</w:t>
      </w:r>
      <w:r w:rsidRPr="00C24512">
        <w:rPr>
          <w:lang w:val="fr-FR"/>
        </w:rPr>
        <w:t xml:space="preserve"> fond, la requérante subit </w:t>
      </w:r>
      <w:r w:rsidR="00B03D8F" w:rsidRPr="00C24512">
        <w:rPr>
          <w:lang w:val="fr-FR"/>
        </w:rPr>
        <w:t xml:space="preserve">une </w:t>
      </w:r>
      <w:r w:rsidRPr="00C24512">
        <w:rPr>
          <w:lang w:val="fr-FR"/>
        </w:rPr>
        <w:t>intervention chirurgicale de modification de ses caractères sexuels</w:t>
      </w:r>
      <w:r w:rsidR="00B03D8F" w:rsidRPr="00C24512">
        <w:rPr>
          <w:lang w:val="fr-FR"/>
        </w:rPr>
        <w:t>,</w:t>
      </w:r>
      <w:r w:rsidRPr="00C24512">
        <w:rPr>
          <w:lang w:val="fr-FR"/>
        </w:rPr>
        <w:t xml:space="preserve"> de masculins à féminins. </w:t>
      </w:r>
      <w:r w:rsidR="000D5453" w:rsidRPr="00C24512">
        <w:rPr>
          <w:lang w:val="fr-FR"/>
        </w:rPr>
        <w:t>Elle</w:t>
      </w:r>
      <w:r w:rsidRPr="00C24512">
        <w:rPr>
          <w:lang w:val="fr-FR"/>
        </w:rPr>
        <w:t xml:space="preserve"> demanda </w:t>
      </w:r>
      <w:r w:rsidR="00B03D8F" w:rsidRPr="00C24512">
        <w:rPr>
          <w:lang w:val="fr-FR"/>
        </w:rPr>
        <w:t>ensuite</w:t>
      </w:r>
      <w:r w:rsidRPr="00C24512">
        <w:rPr>
          <w:lang w:val="fr-FR"/>
        </w:rPr>
        <w:t xml:space="preserve"> au tribunal civil de Rome, à une date </w:t>
      </w:r>
      <w:r w:rsidR="000D5453" w:rsidRPr="00C24512">
        <w:rPr>
          <w:lang w:val="fr-FR"/>
        </w:rPr>
        <w:t>non</w:t>
      </w:r>
      <w:r w:rsidRPr="00C24512">
        <w:rPr>
          <w:lang w:val="fr-FR"/>
        </w:rPr>
        <w:t xml:space="preserve"> précisée, </w:t>
      </w:r>
      <w:r w:rsidR="00C678E7" w:rsidRPr="00C24512">
        <w:rPr>
          <w:lang w:val="fr-FR"/>
        </w:rPr>
        <w:t>la reconnaissance légale du</w:t>
      </w:r>
      <w:r w:rsidRPr="00C24512">
        <w:rPr>
          <w:lang w:val="fr-FR"/>
        </w:rPr>
        <w:t xml:space="preserve"> changement de sexe</w:t>
      </w:r>
      <w:r w:rsidR="00EA3951" w:rsidRPr="00C24512">
        <w:rPr>
          <w:lang w:val="fr-FR"/>
        </w:rPr>
        <w:t xml:space="preserve"> </w:t>
      </w:r>
      <w:r w:rsidR="00B03D8F" w:rsidRPr="00C24512">
        <w:rPr>
          <w:lang w:val="fr-FR"/>
        </w:rPr>
        <w:t>sur le fondement de</w:t>
      </w:r>
      <w:r w:rsidRPr="00C24512">
        <w:rPr>
          <w:lang w:val="fr-FR"/>
        </w:rPr>
        <w:t xml:space="preserve"> l</w:t>
      </w:r>
      <w:r w:rsidR="00C24512" w:rsidRPr="00C24512">
        <w:rPr>
          <w:lang w:val="fr-FR"/>
        </w:rPr>
        <w:t>’</w:t>
      </w:r>
      <w:r w:rsidRPr="00C24512">
        <w:rPr>
          <w:lang w:val="fr-FR"/>
        </w:rPr>
        <w:t>article</w:t>
      </w:r>
      <w:r w:rsidR="00C678E7" w:rsidRPr="00C24512">
        <w:rPr>
          <w:lang w:val="fr-FR"/>
        </w:rPr>
        <w:t> </w:t>
      </w:r>
      <w:r w:rsidRPr="00C24512">
        <w:rPr>
          <w:lang w:val="fr-FR"/>
        </w:rPr>
        <w:t>3 de la loi n</w:t>
      </w:r>
      <w:r w:rsidRPr="00C24512">
        <w:rPr>
          <w:vertAlign w:val="superscript"/>
          <w:lang w:val="fr-FR"/>
        </w:rPr>
        <w:t>o</w:t>
      </w:r>
      <w:r w:rsidRPr="00C24512">
        <w:rPr>
          <w:lang w:val="fr-FR"/>
        </w:rPr>
        <w:t xml:space="preserve"> 164 de 1982.</w:t>
      </w:r>
    </w:p>
    <w:p w:rsidR="005B5811" w:rsidRPr="00C24512" w:rsidRDefault="005B5811" w:rsidP="00C24512">
      <w:pPr>
        <w:pStyle w:val="ECHRPara"/>
        <w:rPr>
          <w:lang w:val="fr-FR"/>
        </w:rPr>
      </w:pPr>
      <w:r w:rsidRPr="00C24512">
        <w:rPr>
          <w:lang w:val="fr-FR"/>
        </w:rPr>
        <w:fldChar w:fldCharType="begin"/>
      </w:r>
      <w:r w:rsidRPr="00C24512">
        <w:rPr>
          <w:lang w:val="fr-FR"/>
        </w:rPr>
        <w:instrText xml:space="preserve"> SEQ level0 \*arabic </w:instrText>
      </w:r>
      <w:r w:rsidRPr="00C24512">
        <w:rPr>
          <w:lang w:val="fr-FR"/>
        </w:rPr>
        <w:fldChar w:fldCharType="separate"/>
      </w:r>
      <w:r w:rsidR="00C24512" w:rsidRPr="00C24512">
        <w:rPr>
          <w:noProof/>
          <w:lang w:val="fr-FR"/>
        </w:rPr>
        <w:t>16</w:t>
      </w:r>
      <w:r w:rsidRPr="00C24512">
        <w:rPr>
          <w:lang w:val="fr-FR"/>
        </w:rPr>
        <w:fldChar w:fldCharType="end"/>
      </w:r>
      <w:r w:rsidRPr="00C24512">
        <w:rPr>
          <w:lang w:val="fr-FR"/>
        </w:rPr>
        <w:t>.  Par un jugement du 10 octobre 2003, le tribunal</w:t>
      </w:r>
      <w:r w:rsidR="004A52B6" w:rsidRPr="00C24512">
        <w:rPr>
          <w:lang w:val="fr-FR"/>
        </w:rPr>
        <w:t xml:space="preserve"> de Rome</w:t>
      </w:r>
      <w:r w:rsidRPr="00C24512">
        <w:rPr>
          <w:lang w:val="fr-FR"/>
        </w:rPr>
        <w:t xml:space="preserve"> fit droit à la demande de la requérante et ordonna à la municipalité de Savone de modifier l</w:t>
      </w:r>
      <w:r w:rsidR="00C24512" w:rsidRPr="00C24512">
        <w:rPr>
          <w:lang w:val="fr-FR"/>
        </w:rPr>
        <w:t>’</w:t>
      </w:r>
      <w:r w:rsidRPr="00C24512">
        <w:rPr>
          <w:lang w:val="fr-FR"/>
        </w:rPr>
        <w:t>indication d</w:t>
      </w:r>
      <w:r w:rsidR="00E2062B" w:rsidRPr="00C24512">
        <w:rPr>
          <w:lang w:val="fr-FR"/>
        </w:rPr>
        <w:t>u</w:t>
      </w:r>
      <w:r w:rsidRPr="00C24512">
        <w:rPr>
          <w:lang w:val="fr-FR"/>
        </w:rPr>
        <w:t xml:space="preserve"> sexe de masculin à féminin et le prénom de « L. » </w:t>
      </w:r>
      <w:r w:rsidR="00E2062B" w:rsidRPr="00C24512">
        <w:rPr>
          <w:lang w:val="fr-FR"/>
        </w:rPr>
        <w:t>en</w:t>
      </w:r>
      <w:r w:rsidR="008F7DEC" w:rsidRPr="00C24512">
        <w:rPr>
          <w:lang w:val="fr-FR"/>
        </w:rPr>
        <w:t xml:space="preserve"> </w:t>
      </w:r>
      <w:r w:rsidRPr="00C24512">
        <w:rPr>
          <w:lang w:val="fr-FR"/>
        </w:rPr>
        <w:t>« S. ».</w:t>
      </w:r>
    </w:p>
    <w:p w:rsidR="003D530A" w:rsidRPr="00C24512" w:rsidRDefault="005B5811" w:rsidP="00C24512">
      <w:pPr>
        <w:pStyle w:val="ECHRPara"/>
        <w:rPr>
          <w:lang w:val="fr-FR"/>
        </w:rPr>
      </w:pPr>
      <w:r w:rsidRPr="00C24512">
        <w:rPr>
          <w:lang w:val="fr-FR"/>
        </w:rPr>
        <w:fldChar w:fldCharType="begin"/>
      </w:r>
      <w:r w:rsidRPr="00C24512">
        <w:rPr>
          <w:lang w:val="fr-FR"/>
        </w:rPr>
        <w:instrText xml:space="preserve"> SEQ level0 \*arabic </w:instrText>
      </w:r>
      <w:r w:rsidRPr="00C24512">
        <w:rPr>
          <w:lang w:val="fr-FR"/>
        </w:rPr>
        <w:fldChar w:fldCharType="separate"/>
      </w:r>
      <w:r w:rsidR="00C24512" w:rsidRPr="00C24512">
        <w:rPr>
          <w:noProof/>
          <w:lang w:val="fr-FR"/>
        </w:rPr>
        <w:t>17</w:t>
      </w:r>
      <w:r w:rsidRPr="00C24512">
        <w:rPr>
          <w:lang w:val="fr-FR"/>
        </w:rPr>
        <w:fldChar w:fldCharType="end"/>
      </w:r>
      <w:r w:rsidRPr="00C24512">
        <w:rPr>
          <w:lang w:val="fr-FR"/>
        </w:rPr>
        <w:t>.  Par un jugement du 6 mars 2008, déposé le 17 mai 2008, le TAR rejeta le recours introduit par la requérante contre la décision du préfet du 4</w:t>
      </w:r>
      <w:r w:rsidR="000D5453" w:rsidRPr="00C24512">
        <w:rPr>
          <w:lang w:val="fr-FR"/>
        </w:rPr>
        <w:t> </w:t>
      </w:r>
      <w:r w:rsidRPr="00C24512">
        <w:rPr>
          <w:lang w:val="fr-FR"/>
        </w:rPr>
        <w:t xml:space="preserve">juillet 2001. Il </w:t>
      </w:r>
      <w:r w:rsidR="000D5453" w:rsidRPr="00C24512">
        <w:rPr>
          <w:lang w:val="fr-FR"/>
        </w:rPr>
        <w:t>jugea</w:t>
      </w:r>
      <w:r w:rsidRPr="00C24512">
        <w:rPr>
          <w:lang w:val="fr-FR"/>
        </w:rPr>
        <w:t xml:space="preserve"> que l</w:t>
      </w:r>
      <w:r w:rsidR="00C24512" w:rsidRPr="00C24512">
        <w:rPr>
          <w:lang w:val="fr-FR"/>
        </w:rPr>
        <w:t>’</w:t>
      </w:r>
      <w:r w:rsidRPr="00C24512">
        <w:rPr>
          <w:lang w:val="fr-FR"/>
        </w:rPr>
        <w:t xml:space="preserve">article 89 du décret </w:t>
      </w:r>
      <w:r w:rsidR="00232DF2" w:rsidRPr="00C24512">
        <w:rPr>
          <w:lang w:val="fr-FR"/>
        </w:rPr>
        <w:t xml:space="preserve">présidentiel </w:t>
      </w:r>
      <w:r w:rsidRPr="00C24512">
        <w:rPr>
          <w:lang w:val="fr-FR"/>
        </w:rPr>
        <w:t>n</w:t>
      </w:r>
      <w:r w:rsidRPr="00C24512">
        <w:rPr>
          <w:vertAlign w:val="superscript"/>
          <w:lang w:val="fr-FR"/>
        </w:rPr>
        <w:t>o</w:t>
      </w:r>
      <w:r w:rsidRPr="00C24512">
        <w:rPr>
          <w:lang w:val="fr-FR"/>
        </w:rPr>
        <w:t xml:space="preserve"> 396 de 2000, concernant le changement de prénom, ne trouvait pas à s</w:t>
      </w:r>
      <w:r w:rsidR="00C24512" w:rsidRPr="00C24512">
        <w:rPr>
          <w:lang w:val="fr-FR"/>
        </w:rPr>
        <w:t>’</w:t>
      </w:r>
      <w:r w:rsidRPr="00C24512">
        <w:rPr>
          <w:lang w:val="fr-FR"/>
        </w:rPr>
        <w:t>appliquer en l</w:t>
      </w:r>
      <w:r w:rsidR="00C24512" w:rsidRPr="00C24512">
        <w:rPr>
          <w:lang w:val="fr-FR"/>
        </w:rPr>
        <w:t>’</w:t>
      </w:r>
      <w:r w:rsidRPr="00C24512">
        <w:rPr>
          <w:lang w:val="fr-FR"/>
        </w:rPr>
        <w:t xml:space="preserve">espèce, </w:t>
      </w:r>
      <w:r w:rsidR="006565DC" w:rsidRPr="00C24512">
        <w:rPr>
          <w:lang w:val="fr-FR"/>
        </w:rPr>
        <w:t xml:space="preserve">et que </w:t>
      </w:r>
      <w:r w:rsidRPr="00C24512">
        <w:rPr>
          <w:lang w:val="fr-FR"/>
        </w:rPr>
        <w:t>celle-ci releva</w:t>
      </w:r>
      <w:r w:rsidR="006565DC" w:rsidRPr="00C24512">
        <w:rPr>
          <w:lang w:val="fr-FR"/>
        </w:rPr>
        <w:t>i</w:t>
      </w:r>
      <w:r w:rsidRPr="00C24512">
        <w:rPr>
          <w:lang w:val="fr-FR"/>
        </w:rPr>
        <w:t>t plutôt de la loi n</w:t>
      </w:r>
      <w:r w:rsidRPr="00C24512">
        <w:rPr>
          <w:vertAlign w:val="superscript"/>
          <w:lang w:val="fr-FR"/>
        </w:rPr>
        <w:t>o</w:t>
      </w:r>
      <w:r w:rsidRPr="00C24512">
        <w:rPr>
          <w:lang w:val="fr-FR"/>
        </w:rPr>
        <w:t xml:space="preserve"> 164 de 1982 en matière de rectification </w:t>
      </w:r>
      <w:r w:rsidR="00363C74" w:rsidRPr="00C24512">
        <w:rPr>
          <w:lang w:val="fr-FR"/>
        </w:rPr>
        <w:t>de l</w:t>
      </w:r>
      <w:r w:rsidR="00C24512" w:rsidRPr="00C24512">
        <w:rPr>
          <w:lang w:val="fr-FR"/>
        </w:rPr>
        <w:t>’</w:t>
      </w:r>
      <w:r w:rsidR="00363C74" w:rsidRPr="00C24512">
        <w:rPr>
          <w:lang w:val="fr-FR"/>
        </w:rPr>
        <w:t>attribution du sexe</w:t>
      </w:r>
      <w:r w:rsidRPr="00C24512">
        <w:rPr>
          <w:lang w:val="fr-FR"/>
        </w:rPr>
        <w:t xml:space="preserve">. </w:t>
      </w:r>
      <w:r w:rsidR="00FB6CBE" w:rsidRPr="00C24512">
        <w:rPr>
          <w:lang w:val="fr-FR"/>
        </w:rPr>
        <w:t>Il souligna, à cet égard, que</w:t>
      </w:r>
      <w:r w:rsidR="006565DC" w:rsidRPr="00C24512">
        <w:rPr>
          <w:lang w:val="fr-FR"/>
        </w:rPr>
        <w:t xml:space="preserve"> </w:t>
      </w:r>
      <w:r w:rsidRPr="00C24512">
        <w:rPr>
          <w:lang w:val="fr-FR"/>
        </w:rPr>
        <w:t xml:space="preserve">cette dernière loi </w:t>
      </w:r>
      <w:r w:rsidR="006565DC" w:rsidRPr="00C24512">
        <w:rPr>
          <w:lang w:val="fr-FR"/>
        </w:rPr>
        <w:t>disposait</w:t>
      </w:r>
      <w:r w:rsidRPr="00C24512">
        <w:rPr>
          <w:lang w:val="fr-FR"/>
        </w:rPr>
        <w:t xml:space="preserve"> que la modification de l</w:t>
      </w:r>
      <w:r w:rsidR="00C24512" w:rsidRPr="00C24512">
        <w:rPr>
          <w:lang w:val="fr-FR"/>
        </w:rPr>
        <w:t>’</w:t>
      </w:r>
      <w:r w:rsidRPr="00C24512">
        <w:rPr>
          <w:lang w:val="fr-FR"/>
        </w:rPr>
        <w:t>état civil</w:t>
      </w:r>
      <w:r w:rsidR="00E0339F" w:rsidRPr="00C24512">
        <w:rPr>
          <w:lang w:val="fr-FR"/>
        </w:rPr>
        <w:t xml:space="preserve"> d</w:t>
      </w:r>
      <w:r w:rsidR="00C24512" w:rsidRPr="00C24512">
        <w:rPr>
          <w:lang w:val="fr-FR"/>
        </w:rPr>
        <w:t>’</w:t>
      </w:r>
      <w:r w:rsidR="00E0339F" w:rsidRPr="00C24512">
        <w:rPr>
          <w:lang w:val="fr-FR"/>
        </w:rPr>
        <w:t>une personne transsexuelle</w:t>
      </w:r>
      <w:r w:rsidRPr="00C24512">
        <w:rPr>
          <w:lang w:val="fr-FR"/>
        </w:rPr>
        <w:t xml:space="preserve"> </w:t>
      </w:r>
      <w:r w:rsidR="006565DC" w:rsidRPr="00C24512">
        <w:rPr>
          <w:lang w:val="fr-FR"/>
        </w:rPr>
        <w:t>devait</w:t>
      </w:r>
      <w:r w:rsidRPr="00C24512">
        <w:rPr>
          <w:lang w:val="fr-FR"/>
        </w:rPr>
        <w:t xml:space="preserve"> être ordonnée par le tribunal qui statu</w:t>
      </w:r>
      <w:r w:rsidR="006565DC" w:rsidRPr="00C24512">
        <w:rPr>
          <w:lang w:val="fr-FR"/>
        </w:rPr>
        <w:t>ait</w:t>
      </w:r>
      <w:r w:rsidRPr="00C24512">
        <w:rPr>
          <w:lang w:val="fr-FR"/>
        </w:rPr>
        <w:t xml:space="preserve"> sur la </w:t>
      </w:r>
      <w:r w:rsidR="009244A9" w:rsidRPr="00C24512">
        <w:rPr>
          <w:lang w:val="fr-FR"/>
        </w:rPr>
        <w:t>conversion</w:t>
      </w:r>
      <w:r w:rsidRPr="00C24512">
        <w:rPr>
          <w:lang w:val="fr-FR"/>
        </w:rPr>
        <w:t xml:space="preserve"> sexuelle</w:t>
      </w:r>
      <w:r w:rsidR="00E0339F" w:rsidRPr="00C24512">
        <w:rPr>
          <w:lang w:val="fr-FR"/>
        </w:rPr>
        <w:t xml:space="preserve"> de celle-ci</w:t>
      </w:r>
      <w:r w:rsidRPr="00C24512">
        <w:rPr>
          <w:lang w:val="fr-FR"/>
        </w:rPr>
        <w:t xml:space="preserve">. </w:t>
      </w:r>
      <w:r w:rsidR="00FB6CBE" w:rsidRPr="00C24512">
        <w:rPr>
          <w:lang w:val="fr-FR"/>
        </w:rPr>
        <w:t>Il estima p</w:t>
      </w:r>
      <w:r w:rsidRPr="00C24512">
        <w:rPr>
          <w:lang w:val="fr-FR"/>
        </w:rPr>
        <w:t>ar conséquent</w:t>
      </w:r>
      <w:r w:rsidR="006565DC" w:rsidRPr="00C24512">
        <w:rPr>
          <w:lang w:val="fr-FR"/>
        </w:rPr>
        <w:t xml:space="preserve"> que </w:t>
      </w:r>
      <w:r w:rsidRPr="00C24512">
        <w:rPr>
          <w:lang w:val="fr-FR"/>
        </w:rPr>
        <w:t>le préfet avait à juste titre reje</w:t>
      </w:r>
      <w:r w:rsidR="003D530A" w:rsidRPr="00C24512">
        <w:rPr>
          <w:lang w:val="fr-FR"/>
        </w:rPr>
        <w:t>té la demande de la requérante.</w:t>
      </w:r>
    </w:p>
    <w:p w:rsidR="005B5811" w:rsidRPr="00C24512" w:rsidRDefault="005B5811" w:rsidP="00C24512">
      <w:pPr>
        <w:pStyle w:val="ECHRPara"/>
        <w:rPr>
          <w:lang w:val="fr-FR"/>
        </w:rPr>
      </w:pPr>
      <w:r w:rsidRPr="00C24512">
        <w:rPr>
          <w:lang w:val="fr-FR"/>
        </w:rPr>
        <w:t xml:space="preserve">Cette dernière </w:t>
      </w:r>
      <w:r w:rsidR="003D530A" w:rsidRPr="00C24512">
        <w:rPr>
          <w:lang w:val="fr-FR"/>
        </w:rPr>
        <w:t>n</w:t>
      </w:r>
      <w:r w:rsidR="00C24512" w:rsidRPr="00C24512">
        <w:rPr>
          <w:lang w:val="fr-FR"/>
        </w:rPr>
        <w:t>’</w:t>
      </w:r>
      <w:r w:rsidR="003D530A" w:rsidRPr="00C24512">
        <w:rPr>
          <w:lang w:val="fr-FR"/>
        </w:rPr>
        <w:t>interjeta pas</w:t>
      </w:r>
      <w:r w:rsidRPr="00C24512">
        <w:rPr>
          <w:lang w:val="fr-FR"/>
        </w:rPr>
        <w:t xml:space="preserve"> appel dudit jugement.</w:t>
      </w:r>
    </w:p>
    <w:p w:rsidR="005B5811" w:rsidRPr="00C24512" w:rsidRDefault="005B5811" w:rsidP="00C24512">
      <w:pPr>
        <w:pStyle w:val="ECHRHeading1"/>
        <w:rPr>
          <w:lang w:val="fr-FR"/>
        </w:rPr>
      </w:pPr>
      <w:r w:rsidRPr="00C24512">
        <w:rPr>
          <w:lang w:val="fr-FR"/>
        </w:rPr>
        <w:t>II.  LE DROIT ET LA PRATIQUE INTERNES PERTINENTS</w:t>
      </w:r>
    </w:p>
    <w:p w:rsidR="005B5811" w:rsidRPr="00C24512" w:rsidRDefault="005B5811" w:rsidP="00C24512">
      <w:pPr>
        <w:pStyle w:val="ECHRHeading2"/>
        <w:rPr>
          <w:lang w:val="fr-FR"/>
        </w:rPr>
      </w:pPr>
      <w:r w:rsidRPr="00C24512">
        <w:rPr>
          <w:lang w:val="fr-FR"/>
        </w:rPr>
        <w:t>A.  La loi n</w:t>
      </w:r>
      <w:r w:rsidRPr="00C24512">
        <w:rPr>
          <w:vertAlign w:val="superscript"/>
          <w:lang w:val="fr-FR"/>
        </w:rPr>
        <w:t>o</w:t>
      </w:r>
      <w:r w:rsidRPr="00C24512">
        <w:rPr>
          <w:lang w:val="fr-FR"/>
        </w:rPr>
        <w:t xml:space="preserve"> 164 de 1982</w:t>
      </w:r>
    </w:p>
    <w:bookmarkStart w:id="1" w:name="To"/>
    <w:bookmarkStart w:id="2" w:name="loi164"/>
    <w:p w:rsidR="005B5811" w:rsidRPr="00C24512" w:rsidRDefault="005B5811" w:rsidP="00C24512">
      <w:pPr>
        <w:pStyle w:val="ECHRPara"/>
        <w:rPr>
          <w:lang w:val="fr-FR"/>
        </w:rPr>
      </w:pPr>
      <w:r w:rsidRPr="00C24512">
        <w:rPr>
          <w:lang w:val="fr-FR"/>
        </w:rPr>
        <w:fldChar w:fldCharType="begin"/>
      </w:r>
      <w:r w:rsidRPr="00C24512">
        <w:rPr>
          <w:lang w:val="fr-FR"/>
        </w:rPr>
        <w:instrText xml:space="preserve"> SEQ level0 \*arabic </w:instrText>
      </w:r>
      <w:r w:rsidRPr="00C24512">
        <w:rPr>
          <w:lang w:val="fr-FR"/>
        </w:rPr>
        <w:fldChar w:fldCharType="separate"/>
      </w:r>
      <w:r w:rsidR="00C24512" w:rsidRPr="00C24512">
        <w:rPr>
          <w:noProof/>
          <w:lang w:val="fr-FR"/>
        </w:rPr>
        <w:t>18</w:t>
      </w:r>
      <w:r w:rsidRPr="00C24512">
        <w:rPr>
          <w:lang w:val="fr-FR"/>
        </w:rPr>
        <w:fldChar w:fldCharType="end"/>
      </w:r>
      <w:bookmarkEnd w:id="1"/>
      <w:bookmarkEnd w:id="2"/>
      <w:r w:rsidRPr="00C24512">
        <w:rPr>
          <w:lang w:val="fr-FR"/>
        </w:rPr>
        <w:t>.  La loi n</w:t>
      </w:r>
      <w:r w:rsidRPr="00C24512">
        <w:rPr>
          <w:vertAlign w:val="superscript"/>
          <w:lang w:val="fr-FR"/>
        </w:rPr>
        <w:t>o</w:t>
      </w:r>
      <w:r w:rsidRPr="00C24512">
        <w:rPr>
          <w:lang w:val="fr-FR"/>
        </w:rPr>
        <w:t xml:space="preserve"> 164 de 1982 établit les règles en matière de rectification de l</w:t>
      </w:r>
      <w:r w:rsidR="00C24512" w:rsidRPr="00C24512">
        <w:rPr>
          <w:lang w:val="fr-FR"/>
        </w:rPr>
        <w:t>’</w:t>
      </w:r>
      <w:r w:rsidRPr="00C24512">
        <w:rPr>
          <w:lang w:val="fr-FR"/>
        </w:rPr>
        <w:t>attribution du sexe</w:t>
      </w:r>
      <w:r w:rsidR="00AB7684" w:rsidRPr="00C24512">
        <w:rPr>
          <w:lang w:val="fr-FR"/>
        </w:rPr>
        <w:t xml:space="preserve"> (</w:t>
      </w:r>
      <w:proofErr w:type="spellStart"/>
      <w:r w:rsidR="00AB7684" w:rsidRPr="00C24512">
        <w:rPr>
          <w:bCs/>
          <w:i/>
          <w:lang w:val="fr-FR"/>
        </w:rPr>
        <w:t>rettificazione</w:t>
      </w:r>
      <w:proofErr w:type="spellEnd"/>
      <w:r w:rsidR="00AB7684" w:rsidRPr="00C24512">
        <w:rPr>
          <w:bCs/>
          <w:i/>
          <w:lang w:val="fr-FR"/>
        </w:rPr>
        <w:t xml:space="preserve"> di </w:t>
      </w:r>
      <w:proofErr w:type="spellStart"/>
      <w:r w:rsidR="00AB7684" w:rsidRPr="00C24512">
        <w:rPr>
          <w:bCs/>
          <w:i/>
          <w:lang w:val="fr-FR"/>
        </w:rPr>
        <w:t>attribuzione</w:t>
      </w:r>
      <w:proofErr w:type="spellEnd"/>
      <w:r w:rsidR="00AB7684" w:rsidRPr="00C24512">
        <w:rPr>
          <w:bCs/>
          <w:i/>
          <w:lang w:val="fr-FR"/>
        </w:rPr>
        <w:t xml:space="preserve"> di </w:t>
      </w:r>
      <w:proofErr w:type="spellStart"/>
      <w:r w:rsidR="00AB7684" w:rsidRPr="00C24512">
        <w:rPr>
          <w:bCs/>
          <w:i/>
          <w:lang w:val="fr-FR"/>
        </w:rPr>
        <w:t>sesso</w:t>
      </w:r>
      <w:proofErr w:type="spellEnd"/>
      <w:r w:rsidR="00AB7684" w:rsidRPr="00C24512">
        <w:rPr>
          <w:b/>
          <w:bCs/>
          <w:lang w:val="fr-FR"/>
        </w:rPr>
        <w:t>)</w:t>
      </w:r>
      <w:r w:rsidRPr="00C24512">
        <w:rPr>
          <w:lang w:val="fr-FR"/>
        </w:rPr>
        <w:t xml:space="preserve">. </w:t>
      </w:r>
      <w:r w:rsidR="000D5453" w:rsidRPr="00C24512">
        <w:rPr>
          <w:lang w:val="fr-FR"/>
        </w:rPr>
        <w:t>Selon</w:t>
      </w:r>
      <w:r w:rsidRPr="00C24512">
        <w:rPr>
          <w:lang w:val="fr-FR"/>
        </w:rPr>
        <w:t xml:space="preserve"> cette loi, telle qu</w:t>
      </w:r>
      <w:r w:rsidR="00C24512" w:rsidRPr="00C24512">
        <w:rPr>
          <w:lang w:val="fr-FR"/>
        </w:rPr>
        <w:t>’</w:t>
      </w:r>
      <w:r w:rsidRPr="00C24512">
        <w:rPr>
          <w:lang w:val="fr-FR"/>
        </w:rPr>
        <w:t>en vigueur à l</w:t>
      </w:r>
      <w:r w:rsidR="00C24512" w:rsidRPr="00C24512">
        <w:rPr>
          <w:lang w:val="fr-FR"/>
        </w:rPr>
        <w:t>’</w:t>
      </w:r>
      <w:r w:rsidRPr="00C24512">
        <w:rPr>
          <w:lang w:val="fr-FR"/>
        </w:rPr>
        <w:t>époque des faits, la rectification de l</w:t>
      </w:r>
      <w:r w:rsidR="00C24512" w:rsidRPr="00C24512">
        <w:rPr>
          <w:lang w:val="fr-FR"/>
        </w:rPr>
        <w:t>’</w:t>
      </w:r>
      <w:r w:rsidRPr="00C24512">
        <w:rPr>
          <w:lang w:val="fr-FR"/>
        </w:rPr>
        <w:t>attribution d</w:t>
      </w:r>
      <w:r w:rsidR="00171DF3" w:rsidRPr="00C24512">
        <w:rPr>
          <w:lang w:val="fr-FR"/>
        </w:rPr>
        <w:t>u</w:t>
      </w:r>
      <w:r w:rsidRPr="00C24512">
        <w:rPr>
          <w:lang w:val="fr-FR"/>
        </w:rPr>
        <w:t xml:space="preserve"> sexe est effectuée </w:t>
      </w:r>
      <w:r w:rsidR="00307FE6" w:rsidRPr="00C24512">
        <w:rPr>
          <w:lang w:val="fr-FR"/>
        </w:rPr>
        <w:t>en vertu d</w:t>
      </w:r>
      <w:r w:rsidR="00C24512" w:rsidRPr="00C24512">
        <w:rPr>
          <w:lang w:val="fr-FR"/>
        </w:rPr>
        <w:t>’</w:t>
      </w:r>
      <w:r w:rsidR="003D530A" w:rsidRPr="00C24512">
        <w:rPr>
          <w:lang w:val="fr-FR"/>
        </w:rPr>
        <w:t>un jugement du tribunal</w:t>
      </w:r>
      <w:r w:rsidRPr="00C24512">
        <w:rPr>
          <w:lang w:val="fr-FR"/>
        </w:rPr>
        <w:t xml:space="preserve"> </w:t>
      </w:r>
      <w:r w:rsidR="004B713F" w:rsidRPr="00C24512">
        <w:rPr>
          <w:lang w:val="fr-FR"/>
        </w:rPr>
        <w:t>revêtu de</w:t>
      </w:r>
      <w:r w:rsidRPr="00C24512">
        <w:rPr>
          <w:lang w:val="fr-FR"/>
        </w:rPr>
        <w:t xml:space="preserve"> l</w:t>
      </w:r>
      <w:r w:rsidR="00C24512" w:rsidRPr="00C24512">
        <w:rPr>
          <w:lang w:val="fr-FR"/>
        </w:rPr>
        <w:t>’</w:t>
      </w:r>
      <w:r w:rsidRPr="00C24512">
        <w:rPr>
          <w:lang w:val="fr-FR"/>
        </w:rPr>
        <w:t xml:space="preserve">autorité de la chose jugée </w:t>
      </w:r>
      <w:r w:rsidR="00171DF3" w:rsidRPr="00C24512">
        <w:rPr>
          <w:lang w:val="fr-FR"/>
        </w:rPr>
        <w:t>conf</w:t>
      </w:r>
      <w:r w:rsidR="004B713F" w:rsidRPr="00C24512">
        <w:rPr>
          <w:lang w:val="fr-FR"/>
        </w:rPr>
        <w:t>érant</w:t>
      </w:r>
      <w:r w:rsidRPr="00C24512">
        <w:rPr>
          <w:lang w:val="fr-FR"/>
        </w:rPr>
        <w:t xml:space="preserve"> à une personne un sexe différent de celui indiqué dans son acte de naissance, à la suite de la modification des caractères sexuels </w:t>
      </w:r>
      <w:r w:rsidR="00585425" w:rsidRPr="00C24512">
        <w:rPr>
          <w:lang w:val="fr-FR"/>
        </w:rPr>
        <w:t>de l</w:t>
      </w:r>
      <w:r w:rsidR="00C24512" w:rsidRPr="00C24512">
        <w:rPr>
          <w:lang w:val="fr-FR"/>
        </w:rPr>
        <w:t>’</w:t>
      </w:r>
      <w:r w:rsidR="00585425" w:rsidRPr="00C24512">
        <w:rPr>
          <w:lang w:val="fr-FR"/>
        </w:rPr>
        <w:t xml:space="preserve">intéressé </w:t>
      </w:r>
      <w:r w:rsidRPr="00C24512">
        <w:rPr>
          <w:lang w:val="fr-FR"/>
        </w:rPr>
        <w:t xml:space="preserve">(article 1). Si nécessaire, le tribunal ordonne une expertise tendant à </w:t>
      </w:r>
      <w:r w:rsidR="00BF57B3" w:rsidRPr="00C24512">
        <w:rPr>
          <w:lang w:val="fr-FR"/>
        </w:rPr>
        <w:t xml:space="preserve">la </w:t>
      </w:r>
      <w:r w:rsidRPr="00C24512">
        <w:rPr>
          <w:lang w:val="fr-FR"/>
        </w:rPr>
        <w:t>vérifi</w:t>
      </w:r>
      <w:r w:rsidR="00BF57B3" w:rsidRPr="00C24512">
        <w:rPr>
          <w:lang w:val="fr-FR"/>
        </w:rPr>
        <w:t>cation des</w:t>
      </w:r>
      <w:r w:rsidRPr="00C24512">
        <w:rPr>
          <w:lang w:val="fr-FR"/>
        </w:rPr>
        <w:t xml:space="preserve"> conditions physiques et psychiques du demandeur. Par le jugement qui accueille la demande de rectification, le tribunal ordonne à la municipalité auprès de laquelle a été enregistré l</w:t>
      </w:r>
      <w:r w:rsidR="00C24512" w:rsidRPr="00C24512">
        <w:rPr>
          <w:lang w:val="fr-FR"/>
        </w:rPr>
        <w:t>’</w:t>
      </w:r>
      <w:r w:rsidRPr="00C24512">
        <w:rPr>
          <w:lang w:val="fr-FR"/>
        </w:rPr>
        <w:t>acte de naissance d</w:t>
      </w:r>
      <w:r w:rsidR="00C24512" w:rsidRPr="00C24512">
        <w:rPr>
          <w:lang w:val="fr-FR"/>
        </w:rPr>
        <w:t>’</w:t>
      </w:r>
      <w:r w:rsidRPr="00C24512">
        <w:rPr>
          <w:lang w:val="fr-FR"/>
        </w:rPr>
        <w:t>effectuer la modification du registre de l</w:t>
      </w:r>
      <w:r w:rsidR="00C24512" w:rsidRPr="00C24512">
        <w:rPr>
          <w:lang w:val="fr-FR"/>
        </w:rPr>
        <w:t>’</w:t>
      </w:r>
      <w:r w:rsidRPr="00C24512">
        <w:rPr>
          <w:lang w:val="fr-FR"/>
        </w:rPr>
        <w:t>état civil (article 2).</w:t>
      </w:r>
    </w:p>
    <w:bookmarkStart w:id="3" w:name="loi164par3"/>
    <w:p w:rsidR="005B5811" w:rsidRPr="00C24512" w:rsidRDefault="005B5811" w:rsidP="00C24512">
      <w:pPr>
        <w:pStyle w:val="ECHRPara"/>
        <w:rPr>
          <w:lang w:val="fr-FR"/>
        </w:rPr>
      </w:pPr>
      <w:r w:rsidRPr="00C24512">
        <w:rPr>
          <w:lang w:val="fr-FR"/>
        </w:rPr>
        <w:fldChar w:fldCharType="begin"/>
      </w:r>
      <w:r w:rsidRPr="00C24512">
        <w:rPr>
          <w:lang w:val="fr-FR"/>
        </w:rPr>
        <w:instrText xml:space="preserve"> SEQ level0 \*arabic </w:instrText>
      </w:r>
      <w:r w:rsidRPr="00C24512">
        <w:rPr>
          <w:lang w:val="fr-FR"/>
        </w:rPr>
        <w:fldChar w:fldCharType="separate"/>
      </w:r>
      <w:r w:rsidR="00C24512" w:rsidRPr="00C24512">
        <w:rPr>
          <w:noProof/>
          <w:lang w:val="fr-FR"/>
        </w:rPr>
        <w:t>19</w:t>
      </w:r>
      <w:r w:rsidRPr="00C24512">
        <w:rPr>
          <w:lang w:val="fr-FR"/>
        </w:rPr>
        <w:fldChar w:fldCharType="end"/>
      </w:r>
      <w:bookmarkEnd w:id="3"/>
      <w:r w:rsidRPr="00C24512">
        <w:rPr>
          <w:lang w:val="fr-FR"/>
        </w:rPr>
        <w:t>.  </w:t>
      </w:r>
      <w:r w:rsidR="00E37207" w:rsidRPr="00C24512">
        <w:rPr>
          <w:lang w:val="fr-FR"/>
        </w:rPr>
        <w:t xml:space="preserve">Par ailleurs, </w:t>
      </w:r>
      <w:r w:rsidRPr="00C24512">
        <w:rPr>
          <w:lang w:val="fr-FR"/>
        </w:rPr>
        <w:t>l</w:t>
      </w:r>
      <w:r w:rsidR="00C24512" w:rsidRPr="00C24512">
        <w:rPr>
          <w:lang w:val="fr-FR"/>
        </w:rPr>
        <w:t>’</w:t>
      </w:r>
      <w:r w:rsidRPr="00C24512">
        <w:rPr>
          <w:lang w:val="fr-FR"/>
        </w:rPr>
        <w:t>article 3 de ladite loi </w:t>
      </w:r>
      <w:r w:rsidR="00E37207" w:rsidRPr="00C24512">
        <w:rPr>
          <w:lang w:val="fr-FR"/>
        </w:rPr>
        <w:t xml:space="preserve">prévoit ce qui suit </w:t>
      </w:r>
      <w:r w:rsidRPr="00C24512">
        <w:rPr>
          <w:lang w:val="fr-FR"/>
        </w:rPr>
        <w:t>:</w:t>
      </w:r>
    </w:p>
    <w:p w:rsidR="005B5811" w:rsidRPr="00C24512" w:rsidRDefault="005B5811" w:rsidP="00C24512">
      <w:pPr>
        <w:pStyle w:val="ECHRParaQuote"/>
        <w:rPr>
          <w:lang w:val="fr-FR"/>
        </w:rPr>
      </w:pPr>
      <w:r w:rsidRPr="00C24512">
        <w:rPr>
          <w:lang w:val="fr-FR"/>
        </w:rPr>
        <w:t>« Lorsqu</w:t>
      </w:r>
      <w:r w:rsidR="00C24512" w:rsidRPr="00C24512">
        <w:rPr>
          <w:lang w:val="fr-FR"/>
        </w:rPr>
        <w:t>’</w:t>
      </w:r>
      <w:r w:rsidRPr="00C24512">
        <w:rPr>
          <w:lang w:val="fr-FR"/>
        </w:rPr>
        <w:t>une adéquation des caractères sexuels par le biais d</w:t>
      </w:r>
      <w:r w:rsidR="00C24512" w:rsidRPr="00C24512">
        <w:rPr>
          <w:lang w:val="fr-FR"/>
        </w:rPr>
        <w:t>’</w:t>
      </w:r>
      <w:r w:rsidRPr="00C24512">
        <w:rPr>
          <w:lang w:val="fr-FR"/>
        </w:rPr>
        <w:t>un traitement médico-chirurgical se révèle nécessaire, le tribunal l</w:t>
      </w:r>
      <w:r w:rsidR="00C24512" w:rsidRPr="00C24512">
        <w:rPr>
          <w:lang w:val="fr-FR"/>
        </w:rPr>
        <w:t>’</w:t>
      </w:r>
      <w:r w:rsidRPr="00C24512">
        <w:rPr>
          <w:lang w:val="fr-FR"/>
        </w:rPr>
        <w:t>autorise par un jugement. Dans ce cas, le tribunal</w:t>
      </w:r>
      <w:r w:rsidR="00171DF3" w:rsidRPr="00C24512">
        <w:rPr>
          <w:lang w:val="fr-FR"/>
        </w:rPr>
        <w:t>, [statuant] en chambre du conseil,</w:t>
      </w:r>
      <w:r w:rsidRPr="00C24512">
        <w:rPr>
          <w:lang w:val="fr-FR"/>
        </w:rPr>
        <w:t xml:space="preserve"> ordonne la rectification de l</w:t>
      </w:r>
      <w:r w:rsidR="00C24512" w:rsidRPr="00C24512">
        <w:rPr>
          <w:lang w:val="fr-FR"/>
        </w:rPr>
        <w:t>’</w:t>
      </w:r>
      <w:r w:rsidRPr="00C24512">
        <w:rPr>
          <w:lang w:val="fr-FR"/>
        </w:rPr>
        <w:t>attribution d</w:t>
      </w:r>
      <w:r w:rsidR="00171DF3" w:rsidRPr="00C24512">
        <w:rPr>
          <w:lang w:val="fr-FR"/>
        </w:rPr>
        <w:t>u</w:t>
      </w:r>
      <w:r w:rsidRPr="00C24512">
        <w:rPr>
          <w:lang w:val="fr-FR"/>
        </w:rPr>
        <w:t xml:space="preserve"> sexe après avoir vérifié l</w:t>
      </w:r>
      <w:r w:rsidR="00C24512" w:rsidRPr="00C24512">
        <w:rPr>
          <w:lang w:val="fr-FR"/>
        </w:rPr>
        <w:t>’</w:t>
      </w:r>
      <w:r w:rsidR="00B65CB3" w:rsidRPr="00C24512">
        <w:rPr>
          <w:lang w:val="fr-FR"/>
        </w:rPr>
        <w:t>exécution</w:t>
      </w:r>
      <w:r w:rsidR="008F7DEC" w:rsidRPr="00C24512">
        <w:rPr>
          <w:lang w:val="fr-FR"/>
        </w:rPr>
        <w:t xml:space="preserve"> du traitement autorisé. »</w:t>
      </w:r>
    </w:p>
    <w:bookmarkStart w:id="4" w:name="décret150de2011"/>
    <w:p w:rsidR="00671DC4" w:rsidRPr="00C24512" w:rsidRDefault="005B5811" w:rsidP="00C24512">
      <w:pPr>
        <w:pStyle w:val="ECHRPara"/>
        <w:rPr>
          <w:lang w:val="fr-FR"/>
        </w:rPr>
      </w:pPr>
      <w:r w:rsidRPr="00C24512">
        <w:rPr>
          <w:lang w:val="fr-FR"/>
        </w:rPr>
        <w:lastRenderedPageBreak/>
        <w:fldChar w:fldCharType="begin"/>
      </w:r>
      <w:r w:rsidRPr="00C24512">
        <w:rPr>
          <w:lang w:val="fr-FR"/>
        </w:rPr>
        <w:instrText xml:space="preserve"> SEQ level0 \*arabic </w:instrText>
      </w:r>
      <w:r w:rsidRPr="00C24512">
        <w:rPr>
          <w:lang w:val="fr-FR"/>
        </w:rPr>
        <w:fldChar w:fldCharType="separate"/>
      </w:r>
      <w:r w:rsidR="00C24512" w:rsidRPr="00C24512">
        <w:rPr>
          <w:noProof/>
          <w:lang w:val="fr-FR"/>
        </w:rPr>
        <w:t>20</w:t>
      </w:r>
      <w:r w:rsidRPr="00C24512">
        <w:rPr>
          <w:lang w:val="fr-FR"/>
        </w:rPr>
        <w:fldChar w:fldCharType="end"/>
      </w:r>
      <w:bookmarkEnd w:id="4"/>
      <w:r w:rsidRPr="00C24512">
        <w:rPr>
          <w:lang w:val="fr-FR"/>
        </w:rPr>
        <w:t>.  </w:t>
      </w:r>
      <w:r w:rsidR="00120023" w:rsidRPr="00C24512">
        <w:rPr>
          <w:lang w:val="fr-FR"/>
        </w:rPr>
        <w:t>L</w:t>
      </w:r>
      <w:r w:rsidR="00C24512" w:rsidRPr="00C24512">
        <w:rPr>
          <w:lang w:val="fr-FR"/>
        </w:rPr>
        <w:t>’</w:t>
      </w:r>
      <w:r w:rsidR="00120023" w:rsidRPr="00C24512">
        <w:rPr>
          <w:lang w:val="fr-FR"/>
        </w:rPr>
        <w:t>article 3</w:t>
      </w:r>
      <w:r w:rsidR="00AD3BFF" w:rsidRPr="00C24512">
        <w:rPr>
          <w:lang w:val="fr-FR"/>
        </w:rPr>
        <w:t xml:space="preserve"> </w:t>
      </w:r>
      <w:r w:rsidR="004B652F" w:rsidRPr="00C24512">
        <w:rPr>
          <w:lang w:val="fr-FR"/>
        </w:rPr>
        <w:t>de la loi n</w:t>
      </w:r>
      <w:r w:rsidR="00671DC4" w:rsidRPr="00C24512">
        <w:rPr>
          <w:vertAlign w:val="superscript"/>
          <w:lang w:val="fr-FR"/>
        </w:rPr>
        <w:t>o</w:t>
      </w:r>
      <w:r w:rsidR="004B652F" w:rsidRPr="00C24512">
        <w:rPr>
          <w:lang w:val="fr-FR"/>
        </w:rPr>
        <w:t xml:space="preserve"> 164 </w:t>
      </w:r>
      <w:r w:rsidRPr="00C24512">
        <w:rPr>
          <w:lang w:val="fr-FR"/>
        </w:rPr>
        <w:t xml:space="preserve">a été ensuite </w:t>
      </w:r>
      <w:r w:rsidR="00120023" w:rsidRPr="00C24512">
        <w:rPr>
          <w:lang w:val="fr-FR"/>
        </w:rPr>
        <w:t>modifié par le</w:t>
      </w:r>
      <w:r w:rsidRPr="00C24512">
        <w:rPr>
          <w:lang w:val="fr-FR"/>
        </w:rPr>
        <w:t xml:space="preserve"> décret législatif n</w:t>
      </w:r>
      <w:r w:rsidRPr="00C24512">
        <w:rPr>
          <w:vertAlign w:val="superscript"/>
          <w:lang w:val="fr-FR"/>
        </w:rPr>
        <w:t>o</w:t>
      </w:r>
      <w:r w:rsidR="00AD3BFF" w:rsidRPr="00C24512">
        <w:rPr>
          <w:vertAlign w:val="superscript"/>
          <w:lang w:val="fr-FR"/>
        </w:rPr>
        <w:t> </w:t>
      </w:r>
      <w:r w:rsidRPr="00C24512">
        <w:rPr>
          <w:lang w:val="fr-FR"/>
        </w:rPr>
        <w:t xml:space="preserve">150 de 2011, </w:t>
      </w:r>
      <w:r w:rsidR="00AD3BFF" w:rsidRPr="00C24512">
        <w:rPr>
          <w:lang w:val="fr-FR"/>
        </w:rPr>
        <w:t>sous l</w:t>
      </w:r>
      <w:r w:rsidR="00C24512" w:rsidRPr="00C24512">
        <w:rPr>
          <w:lang w:val="fr-FR"/>
        </w:rPr>
        <w:t>’</w:t>
      </w:r>
      <w:r w:rsidR="00AD3BFF" w:rsidRPr="00C24512">
        <w:rPr>
          <w:lang w:val="fr-FR"/>
        </w:rPr>
        <w:t xml:space="preserve">article 31, </w:t>
      </w:r>
      <w:r w:rsidRPr="00C24512">
        <w:rPr>
          <w:lang w:val="fr-FR"/>
        </w:rPr>
        <w:t>alinéa 4,</w:t>
      </w:r>
      <w:r w:rsidR="004B652F" w:rsidRPr="00C24512">
        <w:rPr>
          <w:lang w:val="fr-FR"/>
        </w:rPr>
        <w:t xml:space="preserve"> dans le sens </w:t>
      </w:r>
      <w:r w:rsidR="00C26BB4" w:rsidRPr="00C24512">
        <w:rPr>
          <w:lang w:val="fr-FR"/>
        </w:rPr>
        <w:t xml:space="preserve">où </w:t>
      </w:r>
      <w:r w:rsidR="004B652F" w:rsidRPr="00C24512">
        <w:rPr>
          <w:lang w:val="fr-FR"/>
        </w:rPr>
        <w:t>une deuxième décision en chambre d</w:t>
      </w:r>
      <w:r w:rsidR="00C26BB4" w:rsidRPr="00C24512">
        <w:rPr>
          <w:lang w:val="fr-FR"/>
        </w:rPr>
        <w:t>u conseil n</w:t>
      </w:r>
      <w:r w:rsidR="00C24512" w:rsidRPr="00C24512">
        <w:rPr>
          <w:lang w:val="fr-FR"/>
        </w:rPr>
        <w:t>’</w:t>
      </w:r>
      <w:r w:rsidR="00C26BB4" w:rsidRPr="00C24512">
        <w:rPr>
          <w:lang w:val="fr-FR"/>
        </w:rPr>
        <w:t>est plus nécessaire pour obtenir la rectification de l</w:t>
      </w:r>
      <w:r w:rsidR="00C24512" w:rsidRPr="00C24512">
        <w:rPr>
          <w:lang w:val="fr-FR"/>
        </w:rPr>
        <w:t>’</w:t>
      </w:r>
      <w:r w:rsidR="00C26BB4" w:rsidRPr="00C24512">
        <w:rPr>
          <w:lang w:val="fr-FR"/>
        </w:rPr>
        <w:t>attribution de sexe.</w:t>
      </w:r>
    </w:p>
    <w:p w:rsidR="005B5811" w:rsidRPr="00C24512" w:rsidRDefault="004B652F" w:rsidP="00C24512">
      <w:pPr>
        <w:pStyle w:val="ECHRPara"/>
        <w:rPr>
          <w:lang w:val="fr-FR"/>
        </w:rPr>
      </w:pPr>
      <w:r w:rsidRPr="00C24512">
        <w:rPr>
          <w:lang w:val="fr-FR"/>
        </w:rPr>
        <w:t>Ledit article 31, alinéa 4, est</w:t>
      </w:r>
      <w:r w:rsidR="005B5811" w:rsidRPr="00C24512">
        <w:rPr>
          <w:lang w:val="fr-FR"/>
        </w:rPr>
        <w:t xml:space="preserve"> ainsi rédigé :</w:t>
      </w:r>
    </w:p>
    <w:p w:rsidR="009F6DFE" w:rsidRPr="00C24512" w:rsidRDefault="005B5811" w:rsidP="00C24512">
      <w:pPr>
        <w:pStyle w:val="ECHRParaQuote"/>
        <w:rPr>
          <w:lang w:val="fr-FR"/>
        </w:rPr>
      </w:pPr>
      <w:r w:rsidRPr="00C24512">
        <w:rPr>
          <w:lang w:val="fr-FR"/>
        </w:rPr>
        <w:t>« Lorsqu</w:t>
      </w:r>
      <w:r w:rsidR="00C24512" w:rsidRPr="00C24512">
        <w:rPr>
          <w:lang w:val="fr-FR"/>
        </w:rPr>
        <w:t>’</w:t>
      </w:r>
      <w:r w:rsidRPr="00C24512">
        <w:rPr>
          <w:lang w:val="fr-FR"/>
        </w:rPr>
        <w:t>une adéquation des caractères sexuels par le biais d</w:t>
      </w:r>
      <w:r w:rsidR="00C24512" w:rsidRPr="00C24512">
        <w:rPr>
          <w:lang w:val="fr-FR"/>
        </w:rPr>
        <w:t>’</w:t>
      </w:r>
      <w:r w:rsidRPr="00C24512">
        <w:rPr>
          <w:lang w:val="fr-FR"/>
        </w:rPr>
        <w:t>un traitement médico-chirurgical se révèle nécessaire, le tribunal l</w:t>
      </w:r>
      <w:r w:rsidR="00C24512" w:rsidRPr="00C24512">
        <w:rPr>
          <w:lang w:val="fr-FR"/>
        </w:rPr>
        <w:t>’</w:t>
      </w:r>
      <w:r w:rsidRPr="00C24512">
        <w:rPr>
          <w:lang w:val="fr-FR"/>
        </w:rPr>
        <w:t>autorise par un jugement ayant l</w:t>
      </w:r>
      <w:r w:rsidR="00C24512" w:rsidRPr="00C24512">
        <w:rPr>
          <w:lang w:val="fr-FR"/>
        </w:rPr>
        <w:t>’</w:t>
      </w:r>
      <w:r w:rsidR="008F7DEC" w:rsidRPr="00C24512">
        <w:rPr>
          <w:lang w:val="fr-FR"/>
        </w:rPr>
        <w:t>autorité de la chose jugée. »</w:t>
      </w:r>
    </w:p>
    <w:p w:rsidR="005B5811" w:rsidRPr="00C24512" w:rsidRDefault="005B5811" w:rsidP="00C24512">
      <w:pPr>
        <w:pStyle w:val="ECHRHeading2"/>
        <w:rPr>
          <w:lang w:val="fr-FR"/>
        </w:rPr>
      </w:pPr>
      <w:r w:rsidRPr="00C24512">
        <w:rPr>
          <w:lang w:val="fr-FR"/>
        </w:rPr>
        <w:t xml:space="preserve">B.  Le </w:t>
      </w:r>
      <w:r w:rsidR="00F34A28" w:rsidRPr="00C24512">
        <w:rPr>
          <w:lang w:val="fr-FR"/>
        </w:rPr>
        <w:t xml:space="preserve">décret du président de la République </w:t>
      </w:r>
      <w:r w:rsidRPr="00C24512">
        <w:rPr>
          <w:lang w:val="fr-FR"/>
        </w:rPr>
        <w:t>n</w:t>
      </w:r>
      <w:r w:rsidRPr="00C24512">
        <w:rPr>
          <w:vertAlign w:val="superscript"/>
          <w:lang w:val="fr-FR"/>
        </w:rPr>
        <w:t>o</w:t>
      </w:r>
      <w:r w:rsidRPr="00C24512">
        <w:rPr>
          <w:lang w:val="fr-FR"/>
        </w:rPr>
        <w:t xml:space="preserve"> 396 de 2000</w:t>
      </w:r>
      <w:r w:rsidR="00F34A28" w:rsidRPr="00C24512">
        <w:rPr>
          <w:lang w:val="fr-FR"/>
        </w:rPr>
        <w:t xml:space="preserve"> </w:t>
      </w:r>
      <w:r w:rsidR="00483983" w:rsidRPr="00C24512">
        <w:rPr>
          <w:lang w:val="fr-FR"/>
        </w:rPr>
        <w:t xml:space="preserve">et le </w:t>
      </w:r>
      <w:r w:rsidR="008F7DEC" w:rsidRPr="00C24512">
        <w:rPr>
          <w:lang w:val="fr-FR"/>
        </w:rPr>
        <w:t xml:space="preserve">décret royal </w:t>
      </w:r>
      <w:r w:rsidR="00483983" w:rsidRPr="00C24512">
        <w:rPr>
          <w:lang w:val="fr-FR"/>
        </w:rPr>
        <w:t>n </w:t>
      </w:r>
      <w:r w:rsidR="00483983" w:rsidRPr="00C24512">
        <w:rPr>
          <w:vertAlign w:val="superscript"/>
          <w:lang w:val="fr-FR"/>
        </w:rPr>
        <w:t>o </w:t>
      </w:r>
      <w:r w:rsidR="00483983" w:rsidRPr="00C24512">
        <w:rPr>
          <w:lang w:val="fr-FR"/>
        </w:rPr>
        <w:t>1238 de 1939</w:t>
      </w:r>
    </w:p>
    <w:p w:rsidR="005B5811" w:rsidRPr="00C24512" w:rsidRDefault="005B5811" w:rsidP="00C24512">
      <w:pPr>
        <w:pStyle w:val="ECHRPara"/>
        <w:rPr>
          <w:lang w:val="fr-FR"/>
        </w:rPr>
      </w:pPr>
      <w:r w:rsidRPr="00C24512">
        <w:rPr>
          <w:lang w:val="fr-FR"/>
        </w:rPr>
        <w:fldChar w:fldCharType="begin"/>
      </w:r>
      <w:r w:rsidRPr="00C24512">
        <w:rPr>
          <w:lang w:val="fr-FR"/>
        </w:rPr>
        <w:instrText xml:space="preserve"> SEQ level0 \*arabic </w:instrText>
      </w:r>
      <w:r w:rsidRPr="00C24512">
        <w:rPr>
          <w:lang w:val="fr-FR"/>
        </w:rPr>
        <w:fldChar w:fldCharType="separate"/>
      </w:r>
      <w:r w:rsidR="00C24512" w:rsidRPr="00C24512">
        <w:rPr>
          <w:noProof/>
          <w:lang w:val="fr-FR"/>
        </w:rPr>
        <w:t>21</w:t>
      </w:r>
      <w:r w:rsidRPr="00C24512">
        <w:rPr>
          <w:lang w:val="fr-FR"/>
        </w:rPr>
        <w:fldChar w:fldCharType="end"/>
      </w:r>
      <w:r w:rsidRPr="00C24512">
        <w:rPr>
          <w:lang w:val="fr-FR"/>
        </w:rPr>
        <w:t>.  </w:t>
      </w:r>
      <w:r w:rsidR="00F34A28" w:rsidRPr="00C24512">
        <w:rPr>
          <w:lang w:val="fr-FR"/>
        </w:rPr>
        <w:t>D</w:t>
      </w:r>
      <w:r w:rsidR="00C24512" w:rsidRPr="00C24512">
        <w:rPr>
          <w:lang w:val="fr-FR"/>
        </w:rPr>
        <w:t>’</w:t>
      </w:r>
      <w:r w:rsidR="00F34A28" w:rsidRPr="00C24512">
        <w:rPr>
          <w:lang w:val="fr-FR"/>
        </w:rPr>
        <w:t>après</w:t>
      </w:r>
      <w:r w:rsidRPr="00C24512">
        <w:rPr>
          <w:lang w:val="fr-FR"/>
        </w:rPr>
        <w:t xml:space="preserve"> l</w:t>
      </w:r>
      <w:r w:rsidR="00C24512" w:rsidRPr="00C24512">
        <w:rPr>
          <w:lang w:val="fr-FR"/>
        </w:rPr>
        <w:t>’</w:t>
      </w:r>
      <w:r w:rsidRPr="00C24512">
        <w:rPr>
          <w:lang w:val="fr-FR"/>
        </w:rPr>
        <w:t>article 35 du décret du président de la République n</w:t>
      </w:r>
      <w:r w:rsidRPr="00C24512">
        <w:rPr>
          <w:vertAlign w:val="superscript"/>
          <w:lang w:val="fr-FR"/>
        </w:rPr>
        <w:t>o</w:t>
      </w:r>
      <w:r w:rsidRPr="00C24512">
        <w:rPr>
          <w:lang w:val="fr-FR"/>
        </w:rPr>
        <w:t> 396 du 3 novembre 2000</w:t>
      </w:r>
      <w:r w:rsidR="00F34A28" w:rsidRPr="00C24512">
        <w:rPr>
          <w:lang w:val="fr-FR"/>
        </w:rPr>
        <w:t xml:space="preserve"> </w:t>
      </w:r>
      <w:r w:rsidR="00F34A28" w:rsidRPr="00C24512">
        <w:rPr>
          <w:bCs/>
          <w:lang w:val="fr-FR"/>
        </w:rPr>
        <w:t>(« le DPR n</w:t>
      </w:r>
      <w:r w:rsidR="00F34A28" w:rsidRPr="00C24512">
        <w:rPr>
          <w:bCs/>
          <w:vertAlign w:val="superscript"/>
          <w:lang w:val="fr-FR"/>
        </w:rPr>
        <w:t>o</w:t>
      </w:r>
      <w:r w:rsidR="00F34A28" w:rsidRPr="00C24512">
        <w:rPr>
          <w:bCs/>
          <w:lang w:val="fr-FR"/>
        </w:rPr>
        <w:t xml:space="preserve"> 396 »)</w:t>
      </w:r>
      <w:r w:rsidRPr="00C24512">
        <w:rPr>
          <w:lang w:val="fr-FR"/>
        </w:rPr>
        <w:t>, le prénom attribué à un enfant doit correspondre au sexe de celui-ci. Selon l</w:t>
      </w:r>
      <w:r w:rsidR="00C24512" w:rsidRPr="00C24512">
        <w:rPr>
          <w:lang w:val="fr-FR"/>
        </w:rPr>
        <w:t>’</w:t>
      </w:r>
      <w:r w:rsidRPr="00C24512">
        <w:rPr>
          <w:lang w:val="fr-FR"/>
        </w:rPr>
        <w:t xml:space="preserve">article 89 du même décret, sans préjudice des dispositions </w:t>
      </w:r>
      <w:r w:rsidR="00F34A28" w:rsidRPr="00C24512">
        <w:rPr>
          <w:lang w:val="fr-FR"/>
        </w:rPr>
        <w:t xml:space="preserve">applicables </w:t>
      </w:r>
      <w:r w:rsidRPr="00C24512">
        <w:rPr>
          <w:lang w:val="fr-FR"/>
        </w:rPr>
        <w:t xml:space="preserve">en matière de rectification des registres </w:t>
      </w:r>
      <w:r w:rsidR="00F34A28" w:rsidRPr="00C24512">
        <w:rPr>
          <w:lang w:val="fr-FR"/>
        </w:rPr>
        <w:t>d</w:t>
      </w:r>
      <w:r w:rsidR="00C24512" w:rsidRPr="00C24512">
        <w:rPr>
          <w:lang w:val="fr-FR"/>
        </w:rPr>
        <w:t>’</w:t>
      </w:r>
      <w:r w:rsidR="00F34A28" w:rsidRPr="00C24512">
        <w:rPr>
          <w:lang w:val="fr-FR"/>
        </w:rPr>
        <w:t xml:space="preserve">état </w:t>
      </w:r>
      <w:r w:rsidRPr="00C24512">
        <w:rPr>
          <w:lang w:val="fr-FR"/>
        </w:rPr>
        <w:t>civil, une personne souhaitant changer de prénom ou ajouter un autre prénom au sien, ou bien souhaitant changer son nom de famille</w:t>
      </w:r>
      <w:r w:rsidR="00F34A28" w:rsidRPr="00C24512">
        <w:rPr>
          <w:lang w:val="fr-FR"/>
        </w:rPr>
        <w:t>,</w:t>
      </w:r>
      <w:r w:rsidRPr="00C24512">
        <w:rPr>
          <w:lang w:val="fr-FR"/>
        </w:rPr>
        <w:t xml:space="preserve"> </w:t>
      </w:r>
      <w:r w:rsidR="00F34A28" w:rsidRPr="00C24512">
        <w:rPr>
          <w:lang w:val="fr-FR"/>
        </w:rPr>
        <w:t xml:space="preserve">à raison de </w:t>
      </w:r>
      <w:r w:rsidR="00A84465" w:rsidRPr="00C24512">
        <w:rPr>
          <w:lang w:val="fr-FR"/>
        </w:rPr>
        <w:t>son</w:t>
      </w:r>
      <w:r w:rsidR="00F34A28" w:rsidRPr="00C24512">
        <w:rPr>
          <w:lang w:val="fr-FR"/>
        </w:rPr>
        <w:t xml:space="preserve"> caractère</w:t>
      </w:r>
      <w:r w:rsidRPr="00C24512">
        <w:rPr>
          <w:lang w:val="fr-FR"/>
        </w:rPr>
        <w:t xml:space="preserve"> honteux</w:t>
      </w:r>
      <w:r w:rsidR="00F34A28" w:rsidRPr="00C24512">
        <w:rPr>
          <w:lang w:val="fr-FR"/>
        </w:rPr>
        <w:t xml:space="preserve"> ou</w:t>
      </w:r>
      <w:r w:rsidRPr="00C24512">
        <w:rPr>
          <w:lang w:val="fr-FR"/>
        </w:rPr>
        <w:t xml:space="preserve"> ridicule ou </w:t>
      </w:r>
      <w:r w:rsidR="00F34A28" w:rsidRPr="00C24512">
        <w:rPr>
          <w:lang w:val="fr-FR"/>
        </w:rPr>
        <w:t>parce qu</w:t>
      </w:r>
      <w:r w:rsidR="00C24512" w:rsidRPr="00C24512">
        <w:rPr>
          <w:lang w:val="fr-FR"/>
        </w:rPr>
        <w:t>’</w:t>
      </w:r>
      <w:r w:rsidR="00F34A28" w:rsidRPr="00C24512">
        <w:rPr>
          <w:lang w:val="fr-FR"/>
        </w:rPr>
        <w:t xml:space="preserve">il </w:t>
      </w:r>
      <w:r w:rsidRPr="00C24512">
        <w:rPr>
          <w:lang w:val="fr-FR"/>
        </w:rPr>
        <w:t>rév</w:t>
      </w:r>
      <w:r w:rsidR="005F0123" w:rsidRPr="00C24512">
        <w:rPr>
          <w:lang w:val="fr-FR"/>
        </w:rPr>
        <w:t>è</w:t>
      </w:r>
      <w:r w:rsidRPr="00C24512">
        <w:rPr>
          <w:lang w:val="fr-FR"/>
        </w:rPr>
        <w:t>l</w:t>
      </w:r>
      <w:r w:rsidR="00F34A28" w:rsidRPr="00C24512">
        <w:rPr>
          <w:lang w:val="fr-FR"/>
        </w:rPr>
        <w:t>e</w:t>
      </w:r>
      <w:r w:rsidRPr="00C24512">
        <w:rPr>
          <w:lang w:val="fr-FR"/>
        </w:rPr>
        <w:t xml:space="preserve"> son origine naturelle, doit présenter une demande motivée auprès du préfet compétent.</w:t>
      </w:r>
    </w:p>
    <w:p w:rsidR="005B5811" w:rsidRPr="00C24512" w:rsidRDefault="005B5811" w:rsidP="00C24512">
      <w:pPr>
        <w:pStyle w:val="ECHRPara"/>
        <w:rPr>
          <w:lang w:val="fr-FR"/>
        </w:rPr>
      </w:pPr>
      <w:r w:rsidRPr="00C24512">
        <w:rPr>
          <w:lang w:val="fr-FR"/>
        </w:rPr>
        <w:fldChar w:fldCharType="begin"/>
      </w:r>
      <w:r w:rsidRPr="00C24512">
        <w:rPr>
          <w:lang w:val="fr-FR"/>
        </w:rPr>
        <w:instrText xml:space="preserve"> SEQ level0 \*arabic </w:instrText>
      </w:r>
      <w:r w:rsidRPr="00C24512">
        <w:rPr>
          <w:lang w:val="fr-FR"/>
        </w:rPr>
        <w:fldChar w:fldCharType="separate"/>
      </w:r>
      <w:r w:rsidR="00C24512" w:rsidRPr="00C24512">
        <w:rPr>
          <w:noProof/>
          <w:lang w:val="fr-FR"/>
        </w:rPr>
        <w:t>22</w:t>
      </w:r>
      <w:r w:rsidRPr="00C24512">
        <w:rPr>
          <w:lang w:val="fr-FR"/>
        </w:rPr>
        <w:fldChar w:fldCharType="end"/>
      </w:r>
      <w:r w:rsidRPr="00C24512">
        <w:rPr>
          <w:lang w:val="fr-FR"/>
        </w:rPr>
        <w:t>.  Avant l</w:t>
      </w:r>
      <w:r w:rsidR="00C24512" w:rsidRPr="00C24512">
        <w:rPr>
          <w:lang w:val="fr-FR"/>
        </w:rPr>
        <w:t>’</w:t>
      </w:r>
      <w:r w:rsidRPr="00C24512">
        <w:rPr>
          <w:lang w:val="fr-FR"/>
        </w:rPr>
        <w:t>entrée en vigueur du DPR n</w:t>
      </w:r>
      <w:r w:rsidRPr="00C24512">
        <w:rPr>
          <w:vertAlign w:val="superscript"/>
          <w:lang w:val="fr-FR"/>
        </w:rPr>
        <w:t>o</w:t>
      </w:r>
      <w:r w:rsidRPr="00C24512">
        <w:rPr>
          <w:lang w:val="fr-FR"/>
        </w:rPr>
        <w:t> 396, la compétence pour décider des demandes de changement de nom ou de prénom</w:t>
      </w:r>
      <w:r w:rsidR="00D500C4" w:rsidRPr="00C24512">
        <w:rPr>
          <w:lang w:val="fr-FR"/>
        </w:rPr>
        <w:t xml:space="preserve">, </w:t>
      </w:r>
      <w:r w:rsidR="00A42C18" w:rsidRPr="00C24512">
        <w:rPr>
          <w:lang w:val="fr-FR"/>
        </w:rPr>
        <w:t xml:space="preserve">alors </w:t>
      </w:r>
      <w:r w:rsidR="00D500C4" w:rsidRPr="00C24512">
        <w:rPr>
          <w:lang w:val="fr-FR"/>
        </w:rPr>
        <w:t>régie par le</w:t>
      </w:r>
      <w:r w:rsidR="00C64130" w:rsidRPr="00C24512">
        <w:rPr>
          <w:lang w:val="fr-FR"/>
        </w:rPr>
        <w:t>s</w:t>
      </w:r>
      <w:r w:rsidR="00D500C4" w:rsidRPr="00C24512">
        <w:rPr>
          <w:lang w:val="fr-FR"/>
        </w:rPr>
        <w:t xml:space="preserve"> </w:t>
      </w:r>
      <w:r w:rsidR="00C64130" w:rsidRPr="00C24512">
        <w:rPr>
          <w:lang w:val="fr-FR"/>
        </w:rPr>
        <w:t xml:space="preserve">articles 158 et suivants du </w:t>
      </w:r>
      <w:r w:rsidR="00D500C4" w:rsidRPr="00C24512">
        <w:rPr>
          <w:lang w:val="fr-FR"/>
        </w:rPr>
        <w:t>décret royal</w:t>
      </w:r>
      <w:r w:rsidR="00A42C18" w:rsidRPr="00C24512">
        <w:rPr>
          <w:lang w:val="fr-FR"/>
        </w:rPr>
        <w:t> n </w:t>
      </w:r>
      <w:r w:rsidR="00D500C4" w:rsidRPr="00C24512">
        <w:rPr>
          <w:vertAlign w:val="superscript"/>
          <w:lang w:val="fr-FR"/>
        </w:rPr>
        <w:t>o</w:t>
      </w:r>
      <w:r w:rsidR="00A42C18" w:rsidRPr="00C24512">
        <w:rPr>
          <w:vertAlign w:val="superscript"/>
          <w:lang w:val="fr-FR"/>
        </w:rPr>
        <w:t> </w:t>
      </w:r>
      <w:r w:rsidR="00D500C4" w:rsidRPr="00C24512">
        <w:rPr>
          <w:lang w:val="fr-FR"/>
        </w:rPr>
        <w:t>1238 de 1939,</w:t>
      </w:r>
      <w:r w:rsidRPr="00C24512">
        <w:rPr>
          <w:lang w:val="fr-FR"/>
        </w:rPr>
        <w:t xml:space="preserve"> </w:t>
      </w:r>
      <w:r w:rsidR="00A16653" w:rsidRPr="00C24512">
        <w:rPr>
          <w:lang w:val="fr-FR"/>
        </w:rPr>
        <w:t>relevait du</w:t>
      </w:r>
      <w:r w:rsidRPr="00C24512">
        <w:rPr>
          <w:lang w:val="fr-FR"/>
        </w:rPr>
        <w:t xml:space="preserve"> </w:t>
      </w:r>
      <w:r w:rsidR="00A16653" w:rsidRPr="00C24512">
        <w:rPr>
          <w:lang w:val="fr-FR"/>
        </w:rPr>
        <w:t>p</w:t>
      </w:r>
      <w:r w:rsidRPr="00C24512">
        <w:rPr>
          <w:lang w:val="fr-FR"/>
        </w:rPr>
        <w:t>rocureur de la République.</w:t>
      </w:r>
    </w:p>
    <w:p w:rsidR="00671DC4" w:rsidRPr="00C24512" w:rsidRDefault="00520E23" w:rsidP="00C24512">
      <w:pPr>
        <w:pStyle w:val="ECHRPara"/>
        <w:rPr>
          <w:lang w:val="fr-FR"/>
        </w:rPr>
      </w:pPr>
      <w:r w:rsidRPr="00C24512">
        <w:rPr>
          <w:lang w:val="fr-FR"/>
        </w:rPr>
        <w:fldChar w:fldCharType="begin"/>
      </w:r>
      <w:r w:rsidRPr="00C24512">
        <w:rPr>
          <w:lang w:val="fr-FR"/>
        </w:rPr>
        <w:instrText xml:space="preserve"> SEQ level0 \*arabic </w:instrText>
      </w:r>
      <w:r w:rsidRPr="00C24512">
        <w:rPr>
          <w:lang w:val="fr-FR"/>
        </w:rPr>
        <w:fldChar w:fldCharType="separate"/>
      </w:r>
      <w:r w:rsidR="00C24512" w:rsidRPr="00C24512">
        <w:rPr>
          <w:noProof/>
          <w:lang w:val="fr-FR"/>
        </w:rPr>
        <w:t>23</w:t>
      </w:r>
      <w:r w:rsidRPr="00C24512">
        <w:rPr>
          <w:lang w:val="fr-FR"/>
        </w:rPr>
        <w:fldChar w:fldCharType="end"/>
      </w:r>
      <w:r w:rsidRPr="00C24512">
        <w:rPr>
          <w:lang w:val="fr-FR"/>
        </w:rPr>
        <w:t>.  </w:t>
      </w:r>
      <w:r w:rsidR="00483983" w:rsidRPr="00C24512">
        <w:rPr>
          <w:lang w:val="fr-FR"/>
        </w:rPr>
        <w:t xml:space="preserve">Par </w:t>
      </w:r>
      <w:r w:rsidR="004D589E" w:rsidRPr="00C24512">
        <w:rPr>
          <w:lang w:val="fr-FR"/>
        </w:rPr>
        <w:t>la</w:t>
      </w:r>
      <w:r w:rsidR="00483983" w:rsidRPr="00C24512">
        <w:rPr>
          <w:lang w:val="fr-FR"/>
        </w:rPr>
        <w:t xml:space="preserve"> décision</w:t>
      </w:r>
      <w:r w:rsidR="004D589E" w:rsidRPr="00C24512">
        <w:rPr>
          <w:lang w:val="fr-FR"/>
        </w:rPr>
        <w:t xml:space="preserve"> n</w:t>
      </w:r>
      <w:r w:rsidR="00671DC4" w:rsidRPr="00C24512">
        <w:rPr>
          <w:vertAlign w:val="superscript"/>
          <w:lang w:val="fr-FR"/>
        </w:rPr>
        <w:t>o</w:t>
      </w:r>
      <w:r w:rsidR="004D589E" w:rsidRPr="00C24512">
        <w:rPr>
          <w:lang w:val="fr-FR"/>
        </w:rPr>
        <w:t xml:space="preserve"> 18</w:t>
      </w:r>
      <w:r w:rsidRPr="00C24512">
        <w:rPr>
          <w:lang w:val="fr-FR"/>
        </w:rPr>
        <w:t xml:space="preserve"> du </w:t>
      </w:r>
      <w:r w:rsidR="00771EBF" w:rsidRPr="00C24512">
        <w:rPr>
          <w:lang w:val="fr-FR"/>
        </w:rPr>
        <w:t>12 avril 1999</w:t>
      </w:r>
      <w:r w:rsidR="00483983" w:rsidRPr="00C24512">
        <w:rPr>
          <w:lang w:val="fr-FR"/>
        </w:rPr>
        <w:t xml:space="preserve">, le procureur </w:t>
      </w:r>
      <w:r w:rsidR="00D21FA5" w:rsidRPr="00C24512">
        <w:rPr>
          <w:lang w:val="fr-FR"/>
        </w:rPr>
        <w:t xml:space="preserve">général </w:t>
      </w:r>
      <w:r w:rsidR="00483983" w:rsidRPr="00C24512">
        <w:rPr>
          <w:lang w:val="fr-FR"/>
        </w:rPr>
        <w:t xml:space="preserve">de la République </w:t>
      </w:r>
      <w:r w:rsidR="004D589E" w:rsidRPr="00C24512">
        <w:rPr>
          <w:lang w:val="fr-FR"/>
        </w:rPr>
        <w:t xml:space="preserve">près la </w:t>
      </w:r>
      <w:r w:rsidR="00D21FA5" w:rsidRPr="00C24512">
        <w:rPr>
          <w:lang w:val="fr-FR"/>
        </w:rPr>
        <w:t>c</w:t>
      </w:r>
      <w:r w:rsidR="004D589E" w:rsidRPr="00C24512">
        <w:rPr>
          <w:lang w:val="fr-FR"/>
        </w:rPr>
        <w:t>our d</w:t>
      </w:r>
      <w:r w:rsidR="00C24512" w:rsidRPr="00C24512">
        <w:rPr>
          <w:lang w:val="fr-FR"/>
        </w:rPr>
        <w:t>’</w:t>
      </w:r>
      <w:r w:rsidR="004D589E" w:rsidRPr="00C24512">
        <w:rPr>
          <w:lang w:val="fr-FR"/>
        </w:rPr>
        <w:t xml:space="preserve">appel de Rome </w:t>
      </w:r>
      <w:r w:rsidR="00483983" w:rsidRPr="00C24512">
        <w:rPr>
          <w:lang w:val="fr-FR"/>
        </w:rPr>
        <w:t xml:space="preserve">fit droit à la demande de changement </w:t>
      </w:r>
      <w:r w:rsidR="00B87115" w:rsidRPr="00C24512">
        <w:rPr>
          <w:lang w:val="fr-FR"/>
        </w:rPr>
        <w:t>de nom introduite par</w:t>
      </w:r>
      <w:r w:rsidR="00D65AE9" w:rsidRPr="00C24512">
        <w:rPr>
          <w:lang w:val="fr-FR"/>
        </w:rPr>
        <w:t xml:space="preserve"> </w:t>
      </w:r>
      <w:r w:rsidR="00B87115" w:rsidRPr="00C24512">
        <w:rPr>
          <w:lang w:val="fr-FR"/>
        </w:rPr>
        <w:t>un transsexuel non opéré</w:t>
      </w:r>
      <w:r w:rsidR="00D65AE9" w:rsidRPr="00C24512">
        <w:rPr>
          <w:lang w:val="fr-FR"/>
        </w:rPr>
        <w:t>,</w:t>
      </w:r>
      <w:r w:rsidR="00B87115" w:rsidRPr="00C24512">
        <w:rPr>
          <w:lang w:val="fr-FR"/>
        </w:rPr>
        <w:t xml:space="preserve"> </w:t>
      </w:r>
      <w:r w:rsidR="00D65AE9" w:rsidRPr="00C24512">
        <w:rPr>
          <w:lang w:val="fr-FR"/>
        </w:rPr>
        <w:t xml:space="preserve">M.U., </w:t>
      </w:r>
      <w:r w:rsidR="00B87115" w:rsidRPr="00C24512">
        <w:rPr>
          <w:lang w:val="fr-FR"/>
        </w:rPr>
        <w:t>au sens de l</w:t>
      </w:r>
      <w:r w:rsidR="00C24512" w:rsidRPr="00C24512">
        <w:rPr>
          <w:lang w:val="fr-FR"/>
        </w:rPr>
        <w:t>’</w:t>
      </w:r>
      <w:r w:rsidR="00B87115" w:rsidRPr="00C24512">
        <w:rPr>
          <w:lang w:val="fr-FR"/>
        </w:rPr>
        <w:t>article 158 du décret royal n</w:t>
      </w:r>
      <w:r w:rsidR="00671DC4" w:rsidRPr="00C24512">
        <w:rPr>
          <w:vertAlign w:val="superscript"/>
          <w:lang w:val="fr-FR"/>
        </w:rPr>
        <w:t>o</w:t>
      </w:r>
      <w:r w:rsidR="00B87115" w:rsidRPr="00C24512">
        <w:rPr>
          <w:lang w:val="fr-FR"/>
        </w:rPr>
        <w:t xml:space="preserve"> 1238. </w:t>
      </w:r>
      <w:r w:rsidR="00CC5AAA" w:rsidRPr="00C24512">
        <w:rPr>
          <w:lang w:val="fr-FR"/>
        </w:rPr>
        <w:t>Devant le procureur l</w:t>
      </w:r>
      <w:r w:rsidR="00B87115" w:rsidRPr="00C24512">
        <w:rPr>
          <w:lang w:val="fr-FR"/>
        </w:rPr>
        <w:t xml:space="preserve">e demandeur, de sexe masculin, fit valoir </w:t>
      </w:r>
      <w:r w:rsidR="00642E13" w:rsidRPr="00C24512">
        <w:rPr>
          <w:lang w:val="fr-FR"/>
        </w:rPr>
        <w:t xml:space="preserve">avoir toujours eu une nature </w:t>
      </w:r>
      <w:r w:rsidR="00204490" w:rsidRPr="00C24512">
        <w:rPr>
          <w:lang w:val="fr-FR"/>
        </w:rPr>
        <w:t>psychologique</w:t>
      </w:r>
      <w:r w:rsidR="00642E13" w:rsidRPr="00C24512">
        <w:rPr>
          <w:lang w:val="fr-FR"/>
        </w:rPr>
        <w:t xml:space="preserve"> et </w:t>
      </w:r>
      <w:r w:rsidR="00204490" w:rsidRPr="00C24512">
        <w:rPr>
          <w:lang w:val="fr-FR"/>
        </w:rPr>
        <w:t>un comportement</w:t>
      </w:r>
      <w:r w:rsidR="00CC5AAA" w:rsidRPr="00C24512">
        <w:rPr>
          <w:lang w:val="fr-FR"/>
        </w:rPr>
        <w:t xml:space="preserve"> typiquement</w:t>
      </w:r>
      <w:r w:rsidR="00204490" w:rsidRPr="00C24512">
        <w:rPr>
          <w:lang w:val="fr-FR"/>
        </w:rPr>
        <w:t xml:space="preserve"> féminins </w:t>
      </w:r>
      <w:r w:rsidR="00CC5AAA" w:rsidRPr="00C24512">
        <w:rPr>
          <w:lang w:val="fr-FR"/>
        </w:rPr>
        <w:t>et allégua que le fait de porter un prénom masculin l</w:t>
      </w:r>
      <w:r w:rsidR="00C24512" w:rsidRPr="00C24512">
        <w:rPr>
          <w:lang w:val="fr-FR"/>
        </w:rPr>
        <w:t>’</w:t>
      </w:r>
      <w:r w:rsidR="00CC5AAA" w:rsidRPr="00C24512">
        <w:rPr>
          <w:lang w:val="fr-FR"/>
        </w:rPr>
        <w:t>exposait à des problèmes d</w:t>
      </w:r>
      <w:r w:rsidR="00C24512" w:rsidRPr="00C24512">
        <w:rPr>
          <w:lang w:val="fr-FR"/>
        </w:rPr>
        <w:t>’</w:t>
      </w:r>
      <w:r w:rsidR="00CC5AAA" w:rsidRPr="00C24512">
        <w:rPr>
          <w:lang w:val="fr-FR"/>
        </w:rPr>
        <w:t>intégration sociale ainsi qu</w:t>
      </w:r>
      <w:r w:rsidR="00C24512" w:rsidRPr="00C24512">
        <w:rPr>
          <w:lang w:val="fr-FR"/>
        </w:rPr>
        <w:t>’</w:t>
      </w:r>
      <w:r w:rsidR="00CC5AAA" w:rsidRPr="00C24512">
        <w:rPr>
          <w:lang w:val="fr-FR"/>
        </w:rPr>
        <w:t xml:space="preserve">à une grande souffrance personnelle. </w:t>
      </w:r>
      <w:r w:rsidR="00033F5B" w:rsidRPr="00C24512">
        <w:rPr>
          <w:lang w:val="fr-FR"/>
        </w:rPr>
        <w:t xml:space="preserve">Le procureur considéra </w:t>
      </w:r>
      <w:r w:rsidR="00D65AE9" w:rsidRPr="00C24512">
        <w:rPr>
          <w:lang w:val="fr-FR"/>
        </w:rPr>
        <w:t>recevable la</w:t>
      </w:r>
      <w:r w:rsidR="00033F5B" w:rsidRPr="00C24512">
        <w:rPr>
          <w:lang w:val="fr-FR"/>
        </w:rPr>
        <w:t xml:space="preserve"> demande</w:t>
      </w:r>
      <w:r w:rsidR="00D65AE9" w:rsidRPr="00C24512">
        <w:rPr>
          <w:lang w:val="fr-FR"/>
        </w:rPr>
        <w:t xml:space="preserve"> de M.U. et l</w:t>
      </w:r>
      <w:r w:rsidR="00C24512" w:rsidRPr="00C24512">
        <w:rPr>
          <w:lang w:val="fr-FR"/>
        </w:rPr>
        <w:t>’</w:t>
      </w:r>
      <w:r w:rsidR="00D65AE9" w:rsidRPr="00C24512">
        <w:rPr>
          <w:lang w:val="fr-FR"/>
        </w:rPr>
        <w:t>autorisa à changer de prénom</w:t>
      </w:r>
      <w:r w:rsidR="00033F5B" w:rsidRPr="00C24512">
        <w:rPr>
          <w:lang w:val="fr-FR"/>
        </w:rPr>
        <w:t>.</w:t>
      </w:r>
    </w:p>
    <w:p w:rsidR="005B5811" w:rsidRPr="00C24512" w:rsidRDefault="005B5811" w:rsidP="00C24512">
      <w:pPr>
        <w:pStyle w:val="ECHRHeading2"/>
        <w:rPr>
          <w:lang w:val="fr-FR"/>
        </w:rPr>
      </w:pPr>
      <w:r w:rsidRPr="00C24512">
        <w:rPr>
          <w:lang w:val="fr-FR"/>
        </w:rPr>
        <w:t xml:space="preserve">C.  La </w:t>
      </w:r>
      <w:r w:rsidR="00A75A1B" w:rsidRPr="00C24512">
        <w:rPr>
          <w:lang w:val="fr-FR"/>
        </w:rPr>
        <w:t xml:space="preserve">jurisprudence de la </w:t>
      </w:r>
      <w:r w:rsidRPr="00C24512">
        <w:rPr>
          <w:lang w:val="fr-FR"/>
        </w:rPr>
        <w:t>Cour de cassation</w:t>
      </w:r>
    </w:p>
    <w:bookmarkStart w:id="5" w:name="courcassation"/>
    <w:p w:rsidR="005B5811" w:rsidRPr="00C24512" w:rsidRDefault="005B5811" w:rsidP="00C24512">
      <w:pPr>
        <w:pStyle w:val="ECHRPara"/>
        <w:rPr>
          <w:lang w:val="fr-FR"/>
        </w:rPr>
      </w:pPr>
      <w:r w:rsidRPr="00C24512">
        <w:rPr>
          <w:lang w:val="fr-FR"/>
        </w:rPr>
        <w:fldChar w:fldCharType="begin"/>
      </w:r>
      <w:r w:rsidRPr="00C24512">
        <w:rPr>
          <w:lang w:val="fr-FR"/>
        </w:rPr>
        <w:instrText xml:space="preserve"> SEQ level0 \*arabic </w:instrText>
      </w:r>
      <w:r w:rsidRPr="00C24512">
        <w:rPr>
          <w:lang w:val="fr-FR"/>
        </w:rPr>
        <w:fldChar w:fldCharType="separate"/>
      </w:r>
      <w:r w:rsidR="00C24512" w:rsidRPr="00C24512">
        <w:rPr>
          <w:noProof/>
          <w:lang w:val="fr-FR"/>
        </w:rPr>
        <w:t>24</w:t>
      </w:r>
      <w:r w:rsidRPr="00C24512">
        <w:rPr>
          <w:lang w:val="fr-FR"/>
        </w:rPr>
        <w:fldChar w:fldCharType="end"/>
      </w:r>
      <w:bookmarkEnd w:id="5"/>
      <w:r w:rsidRPr="00C24512">
        <w:rPr>
          <w:lang w:val="fr-FR"/>
        </w:rPr>
        <w:t>. </w:t>
      </w:r>
      <w:r w:rsidR="00AA0116" w:rsidRPr="00C24512">
        <w:rPr>
          <w:lang w:val="fr-FR"/>
        </w:rPr>
        <w:t>Par son arrêt n</w:t>
      </w:r>
      <w:r w:rsidR="00AA0116" w:rsidRPr="00C24512">
        <w:rPr>
          <w:vertAlign w:val="superscript"/>
          <w:lang w:val="fr-FR"/>
        </w:rPr>
        <w:t>o</w:t>
      </w:r>
      <w:r w:rsidR="00AA0116" w:rsidRPr="00C24512">
        <w:rPr>
          <w:lang w:val="fr-FR"/>
        </w:rPr>
        <w:t xml:space="preserve"> 15138 du 20 juillet 2015, f</w:t>
      </w:r>
      <w:r w:rsidRPr="00C24512">
        <w:rPr>
          <w:lang w:val="fr-FR"/>
        </w:rPr>
        <w:t xml:space="preserve">aisant référence entre autres aux principes dégagés par la jurisprudence de la Cour, la Cour de cassation a </w:t>
      </w:r>
      <w:r w:rsidR="00AA0116" w:rsidRPr="00C24512">
        <w:rPr>
          <w:lang w:val="fr-FR"/>
        </w:rPr>
        <w:t xml:space="preserve">jugé </w:t>
      </w:r>
      <w:r w:rsidRPr="00C24512">
        <w:rPr>
          <w:lang w:val="fr-FR"/>
        </w:rPr>
        <w:t>qu</w:t>
      </w:r>
      <w:r w:rsidR="00C24512" w:rsidRPr="00C24512">
        <w:rPr>
          <w:lang w:val="fr-FR"/>
        </w:rPr>
        <w:t>’</w:t>
      </w:r>
      <w:r w:rsidRPr="00C24512">
        <w:rPr>
          <w:lang w:val="fr-FR"/>
        </w:rPr>
        <w:t xml:space="preserve">il </w:t>
      </w:r>
      <w:r w:rsidR="00AA0116" w:rsidRPr="00C24512">
        <w:rPr>
          <w:lang w:val="fr-FR"/>
        </w:rPr>
        <w:t>était</w:t>
      </w:r>
      <w:r w:rsidRPr="00C24512">
        <w:rPr>
          <w:lang w:val="fr-FR"/>
        </w:rPr>
        <w:t xml:space="preserve"> exclu que l</w:t>
      </w:r>
      <w:r w:rsidR="00C24512" w:rsidRPr="00C24512">
        <w:rPr>
          <w:lang w:val="fr-FR"/>
        </w:rPr>
        <w:t>’</w:t>
      </w:r>
      <w:r w:rsidRPr="00C24512">
        <w:rPr>
          <w:lang w:val="fr-FR"/>
        </w:rPr>
        <w:t>article 3 de la loi n</w:t>
      </w:r>
      <w:r w:rsidRPr="00C24512">
        <w:rPr>
          <w:vertAlign w:val="superscript"/>
          <w:lang w:val="fr-FR"/>
        </w:rPr>
        <w:t>o</w:t>
      </w:r>
      <w:r w:rsidRPr="00C24512">
        <w:rPr>
          <w:lang w:val="fr-FR"/>
        </w:rPr>
        <w:t xml:space="preserve"> 164 de 1982 </w:t>
      </w:r>
      <w:r w:rsidR="00AA0116" w:rsidRPr="00C24512">
        <w:rPr>
          <w:lang w:val="fr-FR"/>
        </w:rPr>
        <w:t>pût</w:t>
      </w:r>
      <w:r w:rsidRPr="00C24512">
        <w:rPr>
          <w:lang w:val="fr-FR"/>
        </w:rPr>
        <w:t xml:space="preserve"> être interprété comme imposant à une personne transsexuelle de recourir à la chirurgie pour obtenir la reconnaissance de son identité de genre</w:t>
      </w:r>
      <w:r w:rsidR="005779DD" w:rsidRPr="00C24512">
        <w:rPr>
          <w:lang w:val="fr-FR"/>
        </w:rPr>
        <w:t>, la correspondance entre l</w:t>
      </w:r>
      <w:r w:rsidR="00C24512" w:rsidRPr="00C24512">
        <w:rPr>
          <w:lang w:val="fr-FR"/>
        </w:rPr>
        <w:t>’</w:t>
      </w:r>
      <w:r w:rsidR="005779DD" w:rsidRPr="00C24512">
        <w:rPr>
          <w:lang w:val="fr-FR"/>
        </w:rPr>
        <w:t xml:space="preserve">orientation sexuelle </w:t>
      </w:r>
      <w:r w:rsidR="001B02FF" w:rsidRPr="00C24512">
        <w:rPr>
          <w:lang w:val="fr-FR"/>
        </w:rPr>
        <w:t>et l</w:t>
      </w:r>
      <w:r w:rsidR="00C24512" w:rsidRPr="00C24512">
        <w:rPr>
          <w:lang w:val="fr-FR"/>
        </w:rPr>
        <w:t>’</w:t>
      </w:r>
      <w:r w:rsidR="001B02FF" w:rsidRPr="00C24512">
        <w:rPr>
          <w:lang w:val="fr-FR"/>
        </w:rPr>
        <w:t xml:space="preserve">apparence physique </w:t>
      </w:r>
      <w:r w:rsidR="005779DD" w:rsidRPr="00C24512">
        <w:rPr>
          <w:lang w:val="fr-FR"/>
        </w:rPr>
        <w:t xml:space="preserve">pouvant être atteinte par le biais </w:t>
      </w:r>
      <w:r w:rsidR="001B02FF" w:rsidRPr="00C24512">
        <w:rPr>
          <w:lang w:val="fr-FR"/>
        </w:rPr>
        <w:t>de traitements psychologique</w:t>
      </w:r>
      <w:r w:rsidR="00985F4F" w:rsidRPr="00C24512">
        <w:rPr>
          <w:lang w:val="fr-FR"/>
        </w:rPr>
        <w:t>s</w:t>
      </w:r>
      <w:r w:rsidR="001B02FF" w:rsidRPr="00C24512">
        <w:rPr>
          <w:lang w:val="fr-FR"/>
        </w:rPr>
        <w:t xml:space="preserve"> et médicaux</w:t>
      </w:r>
      <w:r w:rsidR="005779DD" w:rsidRPr="00C24512">
        <w:rPr>
          <w:lang w:val="fr-FR"/>
        </w:rPr>
        <w:t xml:space="preserve"> respectueux de l</w:t>
      </w:r>
      <w:r w:rsidR="00C24512" w:rsidRPr="00C24512">
        <w:rPr>
          <w:lang w:val="fr-FR"/>
        </w:rPr>
        <w:t>’</w:t>
      </w:r>
      <w:r w:rsidR="005779DD" w:rsidRPr="00C24512">
        <w:rPr>
          <w:lang w:val="fr-FR"/>
        </w:rPr>
        <w:t>intégrité physique de la personne</w:t>
      </w:r>
      <w:r w:rsidRPr="00C24512">
        <w:rPr>
          <w:lang w:val="fr-FR"/>
        </w:rPr>
        <w:t xml:space="preserve">. La haute juridiction a </w:t>
      </w:r>
      <w:r w:rsidRPr="00C24512">
        <w:rPr>
          <w:lang w:val="fr-FR"/>
        </w:rPr>
        <w:lastRenderedPageBreak/>
        <w:t>ainsi mis fin à la divergence d</w:t>
      </w:r>
      <w:r w:rsidR="00C24512" w:rsidRPr="00C24512">
        <w:rPr>
          <w:lang w:val="fr-FR"/>
        </w:rPr>
        <w:t>’</w:t>
      </w:r>
      <w:r w:rsidRPr="00C24512">
        <w:rPr>
          <w:lang w:val="fr-FR"/>
        </w:rPr>
        <w:t xml:space="preserve">interprétation </w:t>
      </w:r>
      <w:r w:rsidR="00AA5786" w:rsidRPr="00C24512">
        <w:rPr>
          <w:lang w:val="fr-FR"/>
        </w:rPr>
        <w:t xml:space="preserve">existant </w:t>
      </w:r>
      <w:r w:rsidR="00132FF5" w:rsidRPr="00C24512">
        <w:rPr>
          <w:lang w:val="fr-FR"/>
        </w:rPr>
        <w:t>en</w:t>
      </w:r>
      <w:r w:rsidRPr="00C24512">
        <w:rPr>
          <w:lang w:val="fr-FR"/>
        </w:rPr>
        <w:t xml:space="preserve"> la matière</w:t>
      </w:r>
      <w:r w:rsidR="00AA5786" w:rsidRPr="00C24512">
        <w:rPr>
          <w:lang w:val="fr-FR"/>
        </w:rPr>
        <w:t xml:space="preserve"> </w:t>
      </w:r>
      <w:r w:rsidR="00985F4F" w:rsidRPr="00C24512">
        <w:rPr>
          <w:lang w:val="fr-FR"/>
        </w:rPr>
        <w:t>entre</w:t>
      </w:r>
      <w:r w:rsidRPr="00C24512">
        <w:rPr>
          <w:lang w:val="fr-FR"/>
        </w:rPr>
        <w:t xml:space="preserve"> les juridictions du fond.</w:t>
      </w:r>
    </w:p>
    <w:p w:rsidR="005B5811" w:rsidRPr="00C24512" w:rsidRDefault="005B5811" w:rsidP="00C24512">
      <w:pPr>
        <w:pStyle w:val="ECHRHeading2"/>
        <w:rPr>
          <w:lang w:val="fr-FR"/>
        </w:rPr>
      </w:pPr>
      <w:r w:rsidRPr="00C24512">
        <w:rPr>
          <w:lang w:val="fr-FR"/>
        </w:rPr>
        <w:t xml:space="preserve">D.  La </w:t>
      </w:r>
      <w:r w:rsidR="004E64F9" w:rsidRPr="00C24512">
        <w:rPr>
          <w:lang w:val="fr-FR"/>
        </w:rPr>
        <w:t xml:space="preserve">jurisprudence de la </w:t>
      </w:r>
      <w:r w:rsidRPr="00C24512">
        <w:rPr>
          <w:lang w:val="fr-FR"/>
        </w:rPr>
        <w:t>Cour constitutionnelle</w:t>
      </w:r>
    </w:p>
    <w:p w:rsidR="00671DC4" w:rsidRPr="00C24512" w:rsidRDefault="005B5811" w:rsidP="00C24512">
      <w:pPr>
        <w:pStyle w:val="ECHRPara"/>
        <w:rPr>
          <w:lang w:val="fr-FR"/>
        </w:rPr>
      </w:pPr>
      <w:r w:rsidRPr="00C24512">
        <w:rPr>
          <w:lang w:val="fr-FR"/>
        </w:rPr>
        <w:fldChar w:fldCharType="begin"/>
      </w:r>
      <w:r w:rsidRPr="00C24512">
        <w:rPr>
          <w:lang w:val="fr-FR"/>
        </w:rPr>
        <w:instrText xml:space="preserve"> SEQ level0 \*arabic </w:instrText>
      </w:r>
      <w:r w:rsidRPr="00C24512">
        <w:rPr>
          <w:lang w:val="fr-FR"/>
        </w:rPr>
        <w:fldChar w:fldCharType="separate"/>
      </w:r>
      <w:r w:rsidR="00C24512" w:rsidRPr="00C24512">
        <w:rPr>
          <w:noProof/>
          <w:lang w:val="fr-FR"/>
        </w:rPr>
        <w:t>25</w:t>
      </w:r>
      <w:r w:rsidRPr="00C24512">
        <w:rPr>
          <w:lang w:val="fr-FR"/>
        </w:rPr>
        <w:fldChar w:fldCharType="end"/>
      </w:r>
      <w:r w:rsidRPr="00C24512">
        <w:rPr>
          <w:lang w:val="fr-FR"/>
        </w:rPr>
        <w:t>.  Par son arrêt n</w:t>
      </w:r>
      <w:r w:rsidRPr="00C24512">
        <w:rPr>
          <w:vertAlign w:val="superscript"/>
          <w:lang w:val="fr-FR"/>
        </w:rPr>
        <w:t>o</w:t>
      </w:r>
      <w:r w:rsidRPr="00C24512">
        <w:rPr>
          <w:lang w:val="fr-FR"/>
        </w:rPr>
        <w:t xml:space="preserve"> 221 du 20 octobre 2015, la Cour constitutionnelle </w:t>
      </w:r>
      <w:r w:rsidR="00985F4F" w:rsidRPr="00C24512">
        <w:rPr>
          <w:lang w:val="fr-FR"/>
        </w:rPr>
        <w:t xml:space="preserve">a </w:t>
      </w:r>
      <w:r w:rsidRPr="00C24512">
        <w:rPr>
          <w:lang w:val="fr-FR"/>
        </w:rPr>
        <w:t>rejet</w:t>
      </w:r>
      <w:r w:rsidR="00985F4F" w:rsidRPr="00C24512">
        <w:rPr>
          <w:lang w:val="fr-FR"/>
        </w:rPr>
        <w:t>é</w:t>
      </w:r>
      <w:r w:rsidRPr="00C24512">
        <w:rPr>
          <w:lang w:val="fr-FR"/>
        </w:rPr>
        <w:t xml:space="preserve"> une </w:t>
      </w:r>
      <w:r w:rsidR="00985F4F" w:rsidRPr="00C24512">
        <w:rPr>
          <w:lang w:val="fr-FR"/>
        </w:rPr>
        <w:t>exception</w:t>
      </w:r>
      <w:r w:rsidRPr="00C24512">
        <w:rPr>
          <w:lang w:val="fr-FR"/>
        </w:rPr>
        <w:t xml:space="preserve"> d</w:t>
      </w:r>
      <w:r w:rsidR="00C24512" w:rsidRPr="00C24512">
        <w:rPr>
          <w:lang w:val="fr-FR"/>
        </w:rPr>
        <w:t>’</w:t>
      </w:r>
      <w:r w:rsidRPr="00C24512">
        <w:rPr>
          <w:lang w:val="fr-FR"/>
        </w:rPr>
        <w:t>inconstitutionnalité des articles 1 et 3 de la loi n</w:t>
      </w:r>
      <w:r w:rsidRPr="00C24512">
        <w:rPr>
          <w:vertAlign w:val="superscript"/>
          <w:lang w:val="fr-FR"/>
        </w:rPr>
        <w:t>o</w:t>
      </w:r>
      <w:r w:rsidR="00132FF5" w:rsidRPr="00C24512">
        <w:rPr>
          <w:lang w:val="fr-FR"/>
        </w:rPr>
        <w:t xml:space="preserve"> 164 de 1982</w:t>
      </w:r>
      <w:r w:rsidR="00A573CB" w:rsidRPr="00C24512">
        <w:rPr>
          <w:lang w:val="fr-FR"/>
        </w:rPr>
        <w:t xml:space="preserve">. </w:t>
      </w:r>
      <w:r w:rsidR="00721204" w:rsidRPr="00C24512">
        <w:rPr>
          <w:lang w:val="fr-FR"/>
        </w:rPr>
        <w:t xml:space="preserve">Se référant </w:t>
      </w:r>
      <w:r w:rsidR="00310B62" w:rsidRPr="00C24512">
        <w:rPr>
          <w:lang w:val="fr-FR"/>
        </w:rPr>
        <w:t>entre autres</w:t>
      </w:r>
      <w:r w:rsidR="00721204" w:rsidRPr="00C24512">
        <w:rPr>
          <w:lang w:val="fr-FR"/>
        </w:rPr>
        <w:t xml:space="preserve"> à l</w:t>
      </w:r>
      <w:r w:rsidR="00C24512" w:rsidRPr="00C24512">
        <w:rPr>
          <w:lang w:val="fr-FR"/>
        </w:rPr>
        <w:t>’</w:t>
      </w:r>
      <w:r w:rsidR="00721204" w:rsidRPr="00C24512">
        <w:rPr>
          <w:lang w:val="fr-FR"/>
        </w:rPr>
        <w:t>arrêt n</w:t>
      </w:r>
      <w:r w:rsidR="00671DC4" w:rsidRPr="00C24512">
        <w:rPr>
          <w:vertAlign w:val="superscript"/>
          <w:lang w:val="fr-FR"/>
        </w:rPr>
        <w:t>o</w:t>
      </w:r>
      <w:r w:rsidR="00721204" w:rsidRPr="00C24512">
        <w:rPr>
          <w:lang w:val="fr-FR"/>
        </w:rPr>
        <w:t xml:space="preserve"> 15138 de la Cour de cassation, e</w:t>
      </w:r>
      <w:r w:rsidR="00A573CB" w:rsidRPr="00C24512">
        <w:rPr>
          <w:lang w:val="fr-FR"/>
        </w:rPr>
        <w:t>lle</w:t>
      </w:r>
      <w:r w:rsidR="00132FF5" w:rsidRPr="00C24512">
        <w:rPr>
          <w:lang w:val="fr-FR"/>
        </w:rPr>
        <w:t xml:space="preserve"> </w:t>
      </w:r>
      <w:r w:rsidR="00985F4F" w:rsidRPr="00C24512">
        <w:rPr>
          <w:lang w:val="fr-FR"/>
        </w:rPr>
        <w:t xml:space="preserve">a </w:t>
      </w:r>
      <w:r w:rsidR="00132FF5" w:rsidRPr="00C24512">
        <w:rPr>
          <w:lang w:val="fr-FR"/>
        </w:rPr>
        <w:t>affirm</w:t>
      </w:r>
      <w:r w:rsidR="00985F4F" w:rsidRPr="00C24512">
        <w:rPr>
          <w:lang w:val="fr-FR"/>
        </w:rPr>
        <w:t>é</w:t>
      </w:r>
      <w:r w:rsidR="00132FF5" w:rsidRPr="00C24512">
        <w:rPr>
          <w:lang w:val="fr-FR"/>
        </w:rPr>
        <w:t xml:space="preserve"> </w:t>
      </w:r>
      <w:r w:rsidR="00310B62" w:rsidRPr="00C24512">
        <w:rPr>
          <w:lang w:val="fr-FR"/>
        </w:rPr>
        <w:t>tout d</w:t>
      </w:r>
      <w:r w:rsidR="00C24512" w:rsidRPr="00C24512">
        <w:rPr>
          <w:lang w:val="fr-FR"/>
        </w:rPr>
        <w:t>’</w:t>
      </w:r>
      <w:r w:rsidR="00310B62" w:rsidRPr="00C24512">
        <w:rPr>
          <w:lang w:val="fr-FR"/>
        </w:rPr>
        <w:t xml:space="preserve">abord </w:t>
      </w:r>
      <w:r w:rsidR="00132FF5" w:rsidRPr="00C24512">
        <w:rPr>
          <w:lang w:val="fr-FR"/>
        </w:rPr>
        <w:t xml:space="preserve">que </w:t>
      </w:r>
      <w:r w:rsidR="00721204" w:rsidRPr="00C24512">
        <w:rPr>
          <w:lang w:val="fr-FR"/>
        </w:rPr>
        <w:t>les</w:t>
      </w:r>
      <w:r w:rsidR="00132FF5" w:rsidRPr="00C24512">
        <w:rPr>
          <w:lang w:val="fr-FR"/>
        </w:rPr>
        <w:t xml:space="preserve"> dispositions </w:t>
      </w:r>
      <w:r w:rsidR="00310B62" w:rsidRPr="00C24512">
        <w:rPr>
          <w:lang w:val="fr-FR"/>
        </w:rPr>
        <w:t xml:space="preserve">législatives </w:t>
      </w:r>
      <w:r w:rsidR="00721204" w:rsidRPr="00C24512">
        <w:rPr>
          <w:lang w:val="fr-FR"/>
        </w:rPr>
        <w:t xml:space="preserve">en cause </w:t>
      </w:r>
      <w:r w:rsidR="00780063" w:rsidRPr="00C24512">
        <w:rPr>
          <w:lang w:val="fr-FR"/>
        </w:rPr>
        <w:t>représent</w:t>
      </w:r>
      <w:r w:rsidR="00985F4F" w:rsidRPr="00C24512">
        <w:rPr>
          <w:lang w:val="fr-FR"/>
        </w:rPr>
        <w:t>ai</w:t>
      </w:r>
      <w:r w:rsidR="00780063" w:rsidRPr="00C24512">
        <w:rPr>
          <w:lang w:val="fr-FR"/>
        </w:rPr>
        <w:t>ent le résultat d</w:t>
      </w:r>
      <w:r w:rsidR="00C24512" w:rsidRPr="00C24512">
        <w:rPr>
          <w:lang w:val="fr-FR"/>
        </w:rPr>
        <w:t>’</w:t>
      </w:r>
      <w:r w:rsidR="00780063" w:rsidRPr="00C24512">
        <w:rPr>
          <w:lang w:val="fr-FR"/>
        </w:rPr>
        <w:t>une évolution culturelle et juridique visant la reconnaissance de l</w:t>
      </w:r>
      <w:r w:rsidR="00C24512" w:rsidRPr="00C24512">
        <w:rPr>
          <w:lang w:val="fr-FR"/>
        </w:rPr>
        <w:t>’</w:t>
      </w:r>
      <w:r w:rsidR="00780063" w:rsidRPr="00C24512">
        <w:rPr>
          <w:lang w:val="fr-FR"/>
        </w:rPr>
        <w:t>identité de genre comme un élément constitutif du droit à l</w:t>
      </w:r>
      <w:r w:rsidR="00C24512" w:rsidRPr="00C24512">
        <w:rPr>
          <w:lang w:val="fr-FR"/>
        </w:rPr>
        <w:t>’</w:t>
      </w:r>
      <w:r w:rsidR="00780063" w:rsidRPr="00C24512">
        <w:rPr>
          <w:lang w:val="fr-FR"/>
        </w:rPr>
        <w:t xml:space="preserve">identité personnelle. </w:t>
      </w:r>
      <w:r w:rsidR="00887CC3" w:rsidRPr="00C24512">
        <w:rPr>
          <w:lang w:val="fr-FR"/>
        </w:rPr>
        <w:t>E</w:t>
      </w:r>
      <w:r w:rsidR="00985F4F" w:rsidRPr="00C24512">
        <w:rPr>
          <w:lang w:val="fr-FR"/>
        </w:rPr>
        <w:t>lle a ajouté, e</w:t>
      </w:r>
      <w:r w:rsidR="00887CC3" w:rsidRPr="00C24512">
        <w:rPr>
          <w:lang w:val="fr-FR"/>
        </w:rPr>
        <w:t>n</w:t>
      </w:r>
      <w:r w:rsidR="00D74BB3" w:rsidRPr="00C24512">
        <w:rPr>
          <w:lang w:val="fr-FR"/>
        </w:rPr>
        <w:t xml:space="preserve"> </w:t>
      </w:r>
      <w:r w:rsidR="00887CC3" w:rsidRPr="00C24512">
        <w:rPr>
          <w:lang w:val="fr-FR"/>
        </w:rPr>
        <w:t>i</w:t>
      </w:r>
      <w:r w:rsidR="008F59A2" w:rsidRPr="00C24512">
        <w:rPr>
          <w:lang w:val="fr-FR"/>
        </w:rPr>
        <w:t>nterprét</w:t>
      </w:r>
      <w:r w:rsidR="00887CC3" w:rsidRPr="00C24512">
        <w:rPr>
          <w:lang w:val="fr-FR"/>
        </w:rPr>
        <w:t>ant</w:t>
      </w:r>
      <w:r w:rsidR="00310B62" w:rsidRPr="00C24512">
        <w:rPr>
          <w:lang w:val="fr-FR"/>
        </w:rPr>
        <w:t xml:space="preserve"> </w:t>
      </w:r>
      <w:r w:rsidR="00887CC3" w:rsidRPr="00C24512">
        <w:rPr>
          <w:lang w:val="fr-FR"/>
        </w:rPr>
        <w:t>l</w:t>
      </w:r>
      <w:r w:rsidR="00C24512" w:rsidRPr="00C24512">
        <w:rPr>
          <w:lang w:val="fr-FR"/>
        </w:rPr>
        <w:t>’</w:t>
      </w:r>
      <w:r w:rsidR="00887CC3" w:rsidRPr="00C24512">
        <w:rPr>
          <w:lang w:val="fr-FR"/>
        </w:rPr>
        <w:t>absence d</w:t>
      </w:r>
      <w:r w:rsidR="00C24512" w:rsidRPr="00C24512">
        <w:rPr>
          <w:lang w:val="fr-FR"/>
        </w:rPr>
        <w:t>’</w:t>
      </w:r>
      <w:r w:rsidR="00887CC3" w:rsidRPr="00C24512">
        <w:rPr>
          <w:lang w:val="fr-FR"/>
        </w:rPr>
        <w:t xml:space="preserve">une indication explicite des modalités </w:t>
      </w:r>
      <w:r w:rsidR="00310B62" w:rsidRPr="00C24512">
        <w:rPr>
          <w:lang w:val="fr-FR"/>
        </w:rPr>
        <w:t>de</w:t>
      </w:r>
      <w:r w:rsidR="00887CC3" w:rsidRPr="00C24512">
        <w:rPr>
          <w:lang w:val="fr-FR"/>
        </w:rPr>
        <w:t xml:space="preserve"> modifica</w:t>
      </w:r>
      <w:r w:rsidR="00310B62" w:rsidRPr="00C24512">
        <w:rPr>
          <w:lang w:val="fr-FR"/>
        </w:rPr>
        <w:t>tion des caractères sexuels</w:t>
      </w:r>
      <w:r w:rsidR="00887CC3" w:rsidRPr="00C24512">
        <w:rPr>
          <w:lang w:val="fr-FR"/>
        </w:rPr>
        <w:t xml:space="preserve"> </w:t>
      </w:r>
      <w:r w:rsidR="00A84465" w:rsidRPr="00C24512">
        <w:rPr>
          <w:lang w:val="fr-FR"/>
        </w:rPr>
        <w:t>à la lumière des droits fondamentaux de la personne, qu</w:t>
      </w:r>
      <w:r w:rsidR="00C24512" w:rsidRPr="00C24512">
        <w:rPr>
          <w:lang w:val="fr-FR"/>
        </w:rPr>
        <w:t>’</w:t>
      </w:r>
      <w:r w:rsidR="00A84465" w:rsidRPr="00C24512">
        <w:rPr>
          <w:lang w:val="fr-FR"/>
        </w:rPr>
        <w:t xml:space="preserve">une telle absence </w:t>
      </w:r>
      <w:r w:rsidR="00887CC3" w:rsidRPr="00C24512">
        <w:rPr>
          <w:lang w:val="fr-FR"/>
        </w:rPr>
        <w:t>condui</w:t>
      </w:r>
      <w:r w:rsidR="00985F4F" w:rsidRPr="00C24512">
        <w:rPr>
          <w:lang w:val="fr-FR"/>
        </w:rPr>
        <w:t>sai</w:t>
      </w:r>
      <w:r w:rsidR="00887CC3" w:rsidRPr="00C24512">
        <w:rPr>
          <w:lang w:val="fr-FR"/>
        </w:rPr>
        <w:t>t à exclure la nécessité</w:t>
      </w:r>
      <w:r w:rsidR="00721204" w:rsidRPr="00C24512">
        <w:rPr>
          <w:lang w:val="fr-FR"/>
        </w:rPr>
        <w:t xml:space="preserve"> </w:t>
      </w:r>
      <w:r w:rsidR="00887CC3" w:rsidRPr="00C24512">
        <w:rPr>
          <w:lang w:val="fr-FR"/>
        </w:rPr>
        <w:t>d</w:t>
      </w:r>
      <w:r w:rsidR="00C24512" w:rsidRPr="00C24512">
        <w:rPr>
          <w:lang w:val="fr-FR"/>
        </w:rPr>
        <w:t>’</w:t>
      </w:r>
      <w:r w:rsidR="00D74BB3" w:rsidRPr="00C24512">
        <w:rPr>
          <w:lang w:val="fr-FR"/>
        </w:rPr>
        <w:t>un</w:t>
      </w:r>
      <w:r w:rsidR="00887CC3" w:rsidRPr="00C24512">
        <w:rPr>
          <w:lang w:val="fr-FR"/>
        </w:rPr>
        <w:t xml:space="preserve"> traitement chirurgical </w:t>
      </w:r>
      <w:r w:rsidR="00310B62" w:rsidRPr="00C24512">
        <w:rPr>
          <w:lang w:val="fr-FR"/>
        </w:rPr>
        <w:t>aux fins d</w:t>
      </w:r>
      <w:r w:rsidR="00D74BB3" w:rsidRPr="00C24512">
        <w:rPr>
          <w:lang w:val="fr-FR"/>
        </w:rPr>
        <w:t>e l</w:t>
      </w:r>
      <w:r w:rsidR="00C24512" w:rsidRPr="00C24512">
        <w:rPr>
          <w:lang w:val="fr-FR"/>
        </w:rPr>
        <w:t>’</w:t>
      </w:r>
      <w:r w:rsidR="00310B62" w:rsidRPr="00C24512">
        <w:rPr>
          <w:lang w:val="fr-FR"/>
        </w:rPr>
        <w:t>obten</w:t>
      </w:r>
      <w:r w:rsidR="00D74BB3" w:rsidRPr="00C24512">
        <w:rPr>
          <w:lang w:val="fr-FR"/>
        </w:rPr>
        <w:t>tion de</w:t>
      </w:r>
      <w:r w:rsidR="00721204" w:rsidRPr="00C24512">
        <w:rPr>
          <w:lang w:val="fr-FR"/>
        </w:rPr>
        <w:t xml:space="preserve"> la rectification légale d</w:t>
      </w:r>
      <w:r w:rsidR="00E37207" w:rsidRPr="00C24512">
        <w:rPr>
          <w:lang w:val="fr-FR"/>
        </w:rPr>
        <w:t>e l</w:t>
      </w:r>
      <w:r w:rsidR="00C24512" w:rsidRPr="00C24512">
        <w:rPr>
          <w:lang w:val="fr-FR"/>
        </w:rPr>
        <w:t>’</w:t>
      </w:r>
      <w:r w:rsidR="00721204" w:rsidRPr="00C24512">
        <w:rPr>
          <w:lang w:val="fr-FR"/>
        </w:rPr>
        <w:t>attribution d</w:t>
      </w:r>
      <w:r w:rsidR="00171DF3" w:rsidRPr="00C24512">
        <w:rPr>
          <w:lang w:val="fr-FR"/>
        </w:rPr>
        <w:t>u</w:t>
      </w:r>
      <w:r w:rsidR="00721204" w:rsidRPr="00C24512">
        <w:rPr>
          <w:lang w:val="fr-FR"/>
        </w:rPr>
        <w:t xml:space="preserve"> sexe, </w:t>
      </w:r>
      <w:r w:rsidR="00887CC3" w:rsidRPr="00C24512">
        <w:rPr>
          <w:lang w:val="fr-FR"/>
        </w:rPr>
        <w:t>ce</w:t>
      </w:r>
      <w:r w:rsidR="00721204" w:rsidRPr="00C24512">
        <w:rPr>
          <w:lang w:val="fr-FR"/>
        </w:rPr>
        <w:t>lui-ci</w:t>
      </w:r>
      <w:r w:rsidR="00887CC3" w:rsidRPr="00C24512">
        <w:rPr>
          <w:lang w:val="fr-FR"/>
        </w:rPr>
        <w:t xml:space="preserve"> étant seulement l</w:t>
      </w:r>
      <w:r w:rsidR="00C24512" w:rsidRPr="00C24512">
        <w:rPr>
          <w:lang w:val="fr-FR"/>
        </w:rPr>
        <w:t>’</w:t>
      </w:r>
      <w:r w:rsidR="00887CC3" w:rsidRPr="00C24512">
        <w:rPr>
          <w:lang w:val="fr-FR"/>
        </w:rPr>
        <w:t xml:space="preserve">un des </w:t>
      </w:r>
      <w:r w:rsidR="00395F33" w:rsidRPr="00C24512">
        <w:rPr>
          <w:lang w:val="fr-FR"/>
        </w:rPr>
        <w:t>traitements</w:t>
      </w:r>
      <w:r w:rsidR="00887CC3" w:rsidRPr="00C24512">
        <w:rPr>
          <w:lang w:val="fr-FR"/>
        </w:rPr>
        <w:t xml:space="preserve"> </w:t>
      </w:r>
      <w:r w:rsidR="00D74BB3" w:rsidRPr="00C24512">
        <w:rPr>
          <w:lang w:val="fr-FR"/>
        </w:rPr>
        <w:t>envisage</w:t>
      </w:r>
      <w:r w:rsidR="00310B62" w:rsidRPr="00C24512">
        <w:rPr>
          <w:lang w:val="fr-FR"/>
        </w:rPr>
        <w:t xml:space="preserve">ables </w:t>
      </w:r>
      <w:r w:rsidR="00D74BB3" w:rsidRPr="00C24512">
        <w:rPr>
          <w:lang w:val="fr-FR"/>
        </w:rPr>
        <w:t xml:space="preserve">pouvant être utilisés </w:t>
      </w:r>
      <w:r w:rsidR="00887CC3" w:rsidRPr="00C24512">
        <w:rPr>
          <w:lang w:val="fr-FR"/>
        </w:rPr>
        <w:t xml:space="preserve">pour </w:t>
      </w:r>
      <w:r w:rsidR="00D168BF" w:rsidRPr="00C24512">
        <w:rPr>
          <w:lang w:val="fr-FR"/>
        </w:rPr>
        <w:t xml:space="preserve">parvenir </w:t>
      </w:r>
      <w:r w:rsidR="00765554" w:rsidRPr="00C24512">
        <w:rPr>
          <w:lang w:val="fr-FR"/>
        </w:rPr>
        <w:t>à la transformation de l</w:t>
      </w:r>
      <w:r w:rsidR="00C24512" w:rsidRPr="00C24512">
        <w:rPr>
          <w:lang w:val="fr-FR"/>
        </w:rPr>
        <w:t>’</w:t>
      </w:r>
      <w:r w:rsidR="00765554" w:rsidRPr="00C24512">
        <w:rPr>
          <w:lang w:val="fr-FR"/>
        </w:rPr>
        <w:t>apparence d</w:t>
      </w:r>
      <w:r w:rsidR="00C24512" w:rsidRPr="00C24512">
        <w:rPr>
          <w:lang w:val="fr-FR"/>
        </w:rPr>
        <w:t>’</w:t>
      </w:r>
      <w:r w:rsidR="00765554" w:rsidRPr="00C24512">
        <w:rPr>
          <w:lang w:val="fr-FR"/>
        </w:rPr>
        <w:t>une personne</w:t>
      </w:r>
      <w:r w:rsidR="00887CC3" w:rsidRPr="00C24512">
        <w:rPr>
          <w:lang w:val="fr-FR"/>
        </w:rPr>
        <w:t>.</w:t>
      </w:r>
    </w:p>
    <w:p w:rsidR="005B5811" w:rsidRPr="00C24512" w:rsidRDefault="00A25485" w:rsidP="00C24512">
      <w:pPr>
        <w:pStyle w:val="ECHRHeading1"/>
        <w:rPr>
          <w:lang w:val="fr-FR"/>
        </w:rPr>
      </w:pPr>
      <w:r w:rsidRPr="00C24512">
        <w:rPr>
          <w:lang w:val="fr-FR"/>
        </w:rPr>
        <w:t>III</w:t>
      </w:r>
      <w:r w:rsidR="005B5811" w:rsidRPr="00C24512">
        <w:rPr>
          <w:lang w:val="fr-FR"/>
        </w:rPr>
        <w:t>.</w:t>
      </w:r>
      <w:r w:rsidR="008F7DEC" w:rsidRPr="00C24512">
        <w:rPr>
          <w:lang w:val="fr-FR"/>
        </w:rPr>
        <w:t>  </w:t>
      </w:r>
      <w:r w:rsidR="00120023" w:rsidRPr="00C24512">
        <w:rPr>
          <w:lang w:val="fr-FR"/>
        </w:rPr>
        <w:t>LE DROIT</w:t>
      </w:r>
      <w:r w:rsidR="005B5811" w:rsidRPr="00C24512">
        <w:rPr>
          <w:lang w:val="fr-FR"/>
        </w:rPr>
        <w:t xml:space="preserve"> INTERNATIONA</w:t>
      </w:r>
      <w:r w:rsidR="00120023" w:rsidRPr="00C24512">
        <w:rPr>
          <w:lang w:val="fr-FR"/>
        </w:rPr>
        <w:t>L</w:t>
      </w:r>
    </w:p>
    <w:p w:rsidR="00120023" w:rsidRPr="00C24512" w:rsidRDefault="005B5811" w:rsidP="00C24512">
      <w:pPr>
        <w:pStyle w:val="ECHRHeading2"/>
        <w:rPr>
          <w:lang w:val="fr-FR"/>
        </w:rPr>
      </w:pPr>
      <w:r w:rsidRPr="00C24512">
        <w:rPr>
          <w:lang w:val="fr-FR"/>
        </w:rPr>
        <w:t>A.  </w:t>
      </w:r>
      <w:r w:rsidR="008F7DEC" w:rsidRPr="00C24512">
        <w:rPr>
          <w:lang w:val="fr-FR"/>
        </w:rPr>
        <w:t xml:space="preserve">Les Nations </w:t>
      </w:r>
      <w:r w:rsidR="00120023" w:rsidRPr="00C24512">
        <w:rPr>
          <w:lang w:val="fr-FR"/>
        </w:rPr>
        <w:t>unies</w:t>
      </w:r>
    </w:p>
    <w:p w:rsidR="00120023" w:rsidRPr="00C24512" w:rsidRDefault="00120023" w:rsidP="00C24512">
      <w:pPr>
        <w:pStyle w:val="ECHRPara"/>
        <w:rPr>
          <w:lang w:val="fr-FR"/>
        </w:rPr>
      </w:pPr>
      <w:r w:rsidRPr="00C24512">
        <w:rPr>
          <w:lang w:val="fr-FR"/>
        </w:rPr>
        <w:fldChar w:fldCharType="begin"/>
      </w:r>
      <w:r w:rsidRPr="00C24512">
        <w:rPr>
          <w:lang w:val="fr-FR"/>
        </w:rPr>
        <w:instrText xml:space="preserve"> SEQ level0 \*arabic </w:instrText>
      </w:r>
      <w:r w:rsidRPr="00C24512">
        <w:rPr>
          <w:lang w:val="fr-FR"/>
        </w:rPr>
        <w:fldChar w:fldCharType="separate"/>
      </w:r>
      <w:r w:rsidR="00C24512" w:rsidRPr="00C24512">
        <w:rPr>
          <w:noProof/>
          <w:lang w:val="fr-FR"/>
        </w:rPr>
        <w:t>26</w:t>
      </w:r>
      <w:r w:rsidRPr="00C24512">
        <w:rPr>
          <w:lang w:val="fr-FR"/>
        </w:rPr>
        <w:fldChar w:fldCharType="end"/>
      </w:r>
      <w:r w:rsidRPr="00C24512">
        <w:rPr>
          <w:lang w:val="fr-FR"/>
        </w:rPr>
        <w:t>.  Dans son rapport au Conseil des droits de l</w:t>
      </w:r>
      <w:r w:rsidR="00C24512" w:rsidRPr="00C24512">
        <w:rPr>
          <w:lang w:val="fr-FR"/>
        </w:rPr>
        <w:t>’</w:t>
      </w:r>
      <w:r w:rsidRPr="00C24512">
        <w:rPr>
          <w:lang w:val="fr-FR"/>
        </w:rPr>
        <w:t>homme</w:t>
      </w:r>
      <w:r w:rsidR="008F7DEC" w:rsidRPr="00C24512">
        <w:rPr>
          <w:lang w:val="fr-FR"/>
        </w:rPr>
        <w:t xml:space="preserve"> du 17 novembre 2011 intitulé « </w:t>
      </w:r>
      <w:r w:rsidRPr="00C24512">
        <w:rPr>
          <w:lang w:val="fr-FR"/>
        </w:rPr>
        <w:t>lois et pratiques discriminatoires et actes de violence dont sont victimes des personnes en raison de leur orientation sexuel</w:t>
      </w:r>
      <w:r w:rsidR="008F7DEC" w:rsidRPr="00C24512">
        <w:rPr>
          <w:lang w:val="fr-FR"/>
        </w:rPr>
        <w:t>le ou de leur identité de genre </w:t>
      </w:r>
      <w:r w:rsidRPr="00C24512">
        <w:rPr>
          <w:lang w:val="fr-FR"/>
        </w:rPr>
        <w:t>» (A/HRC/19/41), la Haut-Commissaire des Nations unies aux droits de l</w:t>
      </w:r>
      <w:r w:rsidR="00C24512" w:rsidRPr="00C24512">
        <w:rPr>
          <w:lang w:val="fr-FR"/>
        </w:rPr>
        <w:t>’</w:t>
      </w:r>
      <w:r w:rsidRPr="00C24512">
        <w:rPr>
          <w:lang w:val="fr-FR"/>
        </w:rPr>
        <w:t>homme relève en particulier que la réglementation en vigueur dans les pays qui reconnaissent le changement de genre conditionne souvent, implicitement ou explicitement, cette reconnaissance à la stérilisation (§ 72). Elle recommande notamment aux États (§ 84 h) :</w:t>
      </w:r>
    </w:p>
    <w:p w:rsidR="005B5811" w:rsidRPr="00C24512" w:rsidRDefault="008F7DEC" w:rsidP="00C24512">
      <w:pPr>
        <w:pStyle w:val="ECHRParaQuote"/>
        <w:rPr>
          <w:lang w:val="fr-FR"/>
        </w:rPr>
      </w:pPr>
      <w:r w:rsidRPr="00C24512">
        <w:rPr>
          <w:lang w:val="fr-FR"/>
        </w:rPr>
        <w:t>« </w:t>
      </w:r>
      <w:r w:rsidR="00120023" w:rsidRPr="00C24512">
        <w:rPr>
          <w:lang w:val="fr-FR"/>
        </w:rPr>
        <w:t>De faciliter la reconnaissance juridique du genre de préférence des personnes transgenres et de prendre des mesures pour permettre la délivrance de nouveaux documents d</w:t>
      </w:r>
      <w:r w:rsidR="00C24512" w:rsidRPr="00C24512">
        <w:rPr>
          <w:lang w:val="fr-FR"/>
        </w:rPr>
        <w:t>’</w:t>
      </w:r>
      <w:r w:rsidR="00120023" w:rsidRPr="00C24512">
        <w:rPr>
          <w:lang w:val="fr-FR"/>
        </w:rPr>
        <w:t>identité faisant mention du genre de préférence et du nom choisi, sans qu</w:t>
      </w:r>
      <w:r w:rsidR="00C24512" w:rsidRPr="00C24512">
        <w:rPr>
          <w:lang w:val="fr-FR"/>
        </w:rPr>
        <w:t>’</w:t>
      </w:r>
      <w:r w:rsidR="00120023" w:rsidRPr="00C24512">
        <w:rPr>
          <w:lang w:val="fr-FR"/>
        </w:rPr>
        <w:t>il soit porté atteinte aux autres droits de l</w:t>
      </w:r>
      <w:r w:rsidR="00C24512" w:rsidRPr="00C24512">
        <w:rPr>
          <w:lang w:val="fr-FR"/>
        </w:rPr>
        <w:t>’</w:t>
      </w:r>
      <w:r w:rsidRPr="00C24512">
        <w:rPr>
          <w:lang w:val="fr-FR"/>
        </w:rPr>
        <w:t>homme. </w:t>
      </w:r>
      <w:r w:rsidR="00120023" w:rsidRPr="00C24512">
        <w:rPr>
          <w:lang w:val="fr-FR"/>
        </w:rPr>
        <w:t>»</w:t>
      </w:r>
    </w:p>
    <w:p w:rsidR="00120023" w:rsidRPr="00C24512" w:rsidRDefault="005B5811" w:rsidP="00C24512">
      <w:pPr>
        <w:pStyle w:val="ECHRHeading2"/>
        <w:rPr>
          <w:lang w:val="fr-FR"/>
        </w:rPr>
      </w:pPr>
      <w:r w:rsidRPr="00C24512">
        <w:rPr>
          <w:lang w:val="fr-FR"/>
        </w:rPr>
        <w:t>B.  </w:t>
      </w:r>
      <w:r w:rsidR="009F6DFE" w:rsidRPr="00C24512">
        <w:rPr>
          <w:lang w:val="fr-FR"/>
        </w:rPr>
        <w:t xml:space="preserve">Le </w:t>
      </w:r>
      <w:r w:rsidR="00120023" w:rsidRPr="00C24512">
        <w:rPr>
          <w:lang w:val="fr-FR"/>
        </w:rPr>
        <w:t>Comité des Ministres et l</w:t>
      </w:r>
      <w:r w:rsidR="00C24512" w:rsidRPr="00C24512">
        <w:rPr>
          <w:lang w:val="fr-FR"/>
        </w:rPr>
        <w:t>’</w:t>
      </w:r>
      <w:r w:rsidR="00120023" w:rsidRPr="00C24512">
        <w:rPr>
          <w:lang w:val="fr-FR"/>
        </w:rPr>
        <w:t>Assemblée parlementaire du Conseil de l</w:t>
      </w:r>
      <w:r w:rsidR="00C24512" w:rsidRPr="00C24512">
        <w:rPr>
          <w:lang w:val="fr-FR"/>
        </w:rPr>
        <w:t>’</w:t>
      </w:r>
      <w:r w:rsidR="00120023" w:rsidRPr="00C24512">
        <w:rPr>
          <w:lang w:val="fr-FR"/>
        </w:rPr>
        <w:t>Europe</w:t>
      </w:r>
    </w:p>
    <w:p w:rsidR="00120023" w:rsidRPr="00C24512" w:rsidRDefault="00120023" w:rsidP="00C24512">
      <w:pPr>
        <w:pStyle w:val="ECHRPara"/>
        <w:rPr>
          <w:lang w:val="fr-FR"/>
        </w:rPr>
      </w:pPr>
      <w:r w:rsidRPr="00C24512">
        <w:rPr>
          <w:lang w:val="fr-FR"/>
        </w:rPr>
        <w:fldChar w:fldCharType="begin"/>
      </w:r>
      <w:r w:rsidRPr="00C24512">
        <w:rPr>
          <w:lang w:val="fr-FR"/>
        </w:rPr>
        <w:instrText xml:space="preserve"> SEQ level0 \*arabic </w:instrText>
      </w:r>
      <w:r w:rsidRPr="00C24512">
        <w:rPr>
          <w:lang w:val="fr-FR"/>
        </w:rPr>
        <w:fldChar w:fldCharType="separate"/>
      </w:r>
      <w:r w:rsidR="00C24512" w:rsidRPr="00C24512">
        <w:rPr>
          <w:noProof/>
          <w:lang w:val="fr-FR"/>
        </w:rPr>
        <w:t>27</w:t>
      </w:r>
      <w:r w:rsidRPr="00C24512">
        <w:rPr>
          <w:lang w:val="fr-FR"/>
        </w:rPr>
        <w:fldChar w:fldCharType="end"/>
      </w:r>
      <w:r w:rsidRPr="00C24512">
        <w:rPr>
          <w:lang w:val="fr-FR"/>
        </w:rPr>
        <w:t>.  Le Comité des Ministres du Conseil de l</w:t>
      </w:r>
      <w:r w:rsidR="00C24512" w:rsidRPr="00C24512">
        <w:rPr>
          <w:lang w:val="fr-FR"/>
        </w:rPr>
        <w:t>’</w:t>
      </w:r>
      <w:r w:rsidRPr="00C24512">
        <w:rPr>
          <w:lang w:val="fr-FR"/>
        </w:rPr>
        <w:t>Europe a adopté le 31 mars 2010 la Recommandation CM/</w:t>
      </w:r>
      <w:proofErr w:type="spellStart"/>
      <w:r w:rsidRPr="00C24512">
        <w:rPr>
          <w:lang w:val="fr-FR"/>
        </w:rPr>
        <w:t>Rec</w:t>
      </w:r>
      <w:proofErr w:type="spellEnd"/>
      <w:r w:rsidRPr="00C24512">
        <w:rPr>
          <w:lang w:val="fr-FR"/>
        </w:rPr>
        <w:t>(2010)5 sur des mesures visant à combattre la discrimination fondée sur l</w:t>
      </w:r>
      <w:r w:rsidR="00C24512" w:rsidRPr="00C24512">
        <w:rPr>
          <w:lang w:val="fr-FR"/>
        </w:rPr>
        <w:t>’</w:t>
      </w:r>
      <w:r w:rsidRPr="00C24512">
        <w:rPr>
          <w:lang w:val="fr-FR"/>
        </w:rPr>
        <w:t>orientation sexuelle ou l</w:t>
      </w:r>
      <w:r w:rsidR="00C24512" w:rsidRPr="00C24512">
        <w:rPr>
          <w:lang w:val="fr-FR"/>
        </w:rPr>
        <w:t>’</w:t>
      </w:r>
      <w:r w:rsidRPr="00C24512">
        <w:rPr>
          <w:lang w:val="fr-FR"/>
        </w:rPr>
        <w:t xml:space="preserve">identité de genre. Cette recommandation indique en particulier que « les États membres </w:t>
      </w:r>
      <w:r w:rsidRPr="00C24512">
        <w:rPr>
          <w:lang w:val="fr-FR"/>
        </w:rPr>
        <w:lastRenderedPageBreak/>
        <w:t>devraient prendre les mesures appropriées pour garantir la reconnaissance juridique intégrale du changement de sexe d</w:t>
      </w:r>
      <w:r w:rsidR="00C24512" w:rsidRPr="00C24512">
        <w:rPr>
          <w:lang w:val="fr-FR"/>
        </w:rPr>
        <w:t>’</w:t>
      </w:r>
      <w:r w:rsidRPr="00C24512">
        <w:rPr>
          <w:lang w:val="fr-FR"/>
        </w:rPr>
        <w:t>une personne dans tous les domaines de la vie, en particulier en permettant de changer le nom et le genre de l</w:t>
      </w:r>
      <w:r w:rsidR="00C24512" w:rsidRPr="00C24512">
        <w:rPr>
          <w:lang w:val="fr-FR"/>
        </w:rPr>
        <w:t>’</w:t>
      </w:r>
      <w:r w:rsidRPr="00C24512">
        <w:rPr>
          <w:lang w:val="fr-FR"/>
        </w:rPr>
        <w:t>intéressé dans les documents officiels de manière rapide, transparente et accessible ; les États membres devraient également veiller, le cas échéant, à ce que les acteurs non étatiques reconnaissent le changement et apportent les modifications correspondantes dans les documents importants tels que les diplômes ou les certific</w:t>
      </w:r>
      <w:r w:rsidR="008F7DEC" w:rsidRPr="00C24512">
        <w:rPr>
          <w:lang w:val="fr-FR"/>
        </w:rPr>
        <w:t>ats de travail » (annexe, point </w:t>
      </w:r>
      <w:r w:rsidRPr="00C24512">
        <w:rPr>
          <w:lang w:val="fr-FR"/>
        </w:rPr>
        <w:t>21).</w:t>
      </w:r>
    </w:p>
    <w:p w:rsidR="00120023" w:rsidRPr="00C24512" w:rsidRDefault="00120023" w:rsidP="00C24512">
      <w:pPr>
        <w:pStyle w:val="ECHRPara"/>
        <w:rPr>
          <w:lang w:val="fr-FR"/>
        </w:rPr>
      </w:pPr>
      <w:r w:rsidRPr="00C24512">
        <w:rPr>
          <w:lang w:val="fr-FR"/>
        </w:rPr>
        <w:fldChar w:fldCharType="begin"/>
      </w:r>
      <w:r w:rsidRPr="00C24512">
        <w:rPr>
          <w:lang w:val="fr-FR"/>
        </w:rPr>
        <w:instrText xml:space="preserve"> SEQ level0 \*arabic </w:instrText>
      </w:r>
      <w:r w:rsidRPr="00C24512">
        <w:rPr>
          <w:lang w:val="fr-FR"/>
        </w:rPr>
        <w:fldChar w:fldCharType="separate"/>
      </w:r>
      <w:r w:rsidR="00C24512" w:rsidRPr="00C24512">
        <w:rPr>
          <w:noProof/>
          <w:lang w:val="fr-FR"/>
        </w:rPr>
        <w:t>28</w:t>
      </w:r>
      <w:r w:rsidRPr="00C24512">
        <w:rPr>
          <w:lang w:val="fr-FR"/>
        </w:rPr>
        <w:fldChar w:fldCharType="end"/>
      </w:r>
      <w:r w:rsidRPr="00C24512">
        <w:rPr>
          <w:lang w:val="fr-FR"/>
        </w:rPr>
        <w:t>.  Dans sa résolution 1728 (2010), adoptée le 29 avril 2010, relative à la discrimination sur la base de l</w:t>
      </w:r>
      <w:r w:rsidR="00C24512" w:rsidRPr="00C24512">
        <w:rPr>
          <w:lang w:val="fr-FR"/>
        </w:rPr>
        <w:t>’</w:t>
      </w:r>
      <w:r w:rsidRPr="00C24512">
        <w:rPr>
          <w:lang w:val="fr-FR"/>
        </w:rPr>
        <w:t>orientation sexuelle et de l</w:t>
      </w:r>
      <w:r w:rsidR="00C24512" w:rsidRPr="00C24512">
        <w:rPr>
          <w:lang w:val="fr-FR"/>
        </w:rPr>
        <w:t>’</w:t>
      </w:r>
      <w:r w:rsidRPr="00C24512">
        <w:rPr>
          <w:lang w:val="fr-FR"/>
        </w:rPr>
        <w:t>identité de genre, l</w:t>
      </w:r>
      <w:r w:rsidR="00C24512" w:rsidRPr="00C24512">
        <w:rPr>
          <w:lang w:val="fr-FR"/>
        </w:rPr>
        <w:t>’</w:t>
      </w:r>
      <w:r w:rsidRPr="00C24512">
        <w:rPr>
          <w:lang w:val="fr-FR"/>
        </w:rPr>
        <w:t>Assemblée parlementaire du Conseil de l</w:t>
      </w:r>
      <w:r w:rsidR="00C24512" w:rsidRPr="00C24512">
        <w:rPr>
          <w:lang w:val="fr-FR"/>
        </w:rPr>
        <w:t>’</w:t>
      </w:r>
      <w:r w:rsidRPr="00C24512">
        <w:rPr>
          <w:lang w:val="fr-FR"/>
        </w:rPr>
        <w:t>Europe appelle les États « à garantir dans la législation et la pratique, les droits [des personnes transgenres] (...) à des documents officiels reflétant l</w:t>
      </w:r>
      <w:r w:rsidR="00C24512" w:rsidRPr="00C24512">
        <w:rPr>
          <w:lang w:val="fr-FR"/>
        </w:rPr>
        <w:t>’</w:t>
      </w:r>
      <w:r w:rsidRPr="00C24512">
        <w:rPr>
          <w:lang w:val="fr-FR"/>
        </w:rPr>
        <w:t>identité de genre choisie, sans obligation préalable de subir une stérilisation ou d</w:t>
      </w:r>
      <w:r w:rsidR="00C24512" w:rsidRPr="00C24512">
        <w:rPr>
          <w:lang w:val="fr-FR"/>
        </w:rPr>
        <w:t>’</w:t>
      </w:r>
      <w:r w:rsidRPr="00C24512">
        <w:rPr>
          <w:lang w:val="fr-FR"/>
        </w:rPr>
        <w:t>autres procédures médicales comme une opération de conversion sex</w:t>
      </w:r>
      <w:r w:rsidR="008F7DEC" w:rsidRPr="00C24512">
        <w:rPr>
          <w:lang w:val="fr-FR"/>
        </w:rPr>
        <w:t>uelle ou une thérapie hormonale </w:t>
      </w:r>
      <w:r w:rsidRPr="00C24512">
        <w:rPr>
          <w:lang w:val="fr-FR"/>
        </w:rPr>
        <w:t>» (point 16.11.2).</w:t>
      </w:r>
    </w:p>
    <w:p w:rsidR="005B5811" w:rsidRPr="00C24512" w:rsidRDefault="005B5811" w:rsidP="00C24512">
      <w:pPr>
        <w:pStyle w:val="ECHRTitle1"/>
        <w:rPr>
          <w:lang w:val="fr-FR"/>
        </w:rPr>
      </w:pPr>
      <w:r w:rsidRPr="00C24512">
        <w:rPr>
          <w:lang w:val="fr-FR"/>
        </w:rPr>
        <w:t>EN DROIT</w:t>
      </w:r>
    </w:p>
    <w:p w:rsidR="005B5811" w:rsidRPr="00C24512" w:rsidRDefault="005B5811" w:rsidP="00C24512">
      <w:pPr>
        <w:pStyle w:val="ECHRHeading1"/>
        <w:rPr>
          <w:lang w:val="fr-FR"/>
        </w:rPr>
      </w:pPr>
      <w:r w:rsidRPr="00C24512">
        <w:rPr>
          <w:lang w:val="fr-FR"/>
        </w:rPr>
        <w:t>I.  SUR LA VIOLATION ALLÉGUÉE DE L</w:t>
      </w:r>
      <w:r w:rsidR="00C24512" w:rsidRPr="00C24512">
        <w:rPr>
          <w:lang w:val="fr-FR"/>
        </w:rPr>
        <w:t>’</w:t>
      </w:r>
      <w:r w:rsidRPr="00C24512">
        <w:rPr>
          <w:lang w:val="fr-FR"/>
        </w:rPr>
        <w:t>ARTICLE 8 DE LA CONVENTION</w:t>
      </w:r>
    </w:p>
    <w:p w:rsidR="005B5811" w:rsidRPr="00C24512" w:rsidRDefault="005B5811" w:rsidP="00C24512">
      <w:pPr>
        <w:pStyle w:val="ECHRPara"/>
        <w:rPr>
          <w:lang w:val="fr-FR"/>
        </w:rPr>
      </w:pPr>
      <w:r w:rsidRPr="00C24512">
        <w:rPr>
          <w:lang w:val="fr-FR"/>
        </w:rPr>
        <w:fldChar w:fldCharType="begin"/>
      </w:r>
      <w:r w:rsidRPr="00C24512">
        <w:rPr>
          <w:lang w:val="fr-FR"/>
        </w:rPr>
        <w:instrText xml:space="preserve"> SEQ level0 \*arabic </w:instrText>
      </w:r>
      <w:r w:rsidRPr="00C24512">
        <w:rPr>
          <w:lang w:val="fr-FR"/>
        </w:rPr>
        <w:fldChar w:fldCharType="separate"/>
      </w:r>
      <w:r w:rsidR="00C24512" w:rsidRPr="00C24512">
        <w:rPr>
          <w:noProof/>
          <w:lang w:val="fr-FR"/>
        </w:rPr>
        <w:t>29</w:t>
      </w:r>
      <w:r w:rsidRPr="00C24512">
        <w:rPr>
          <w:lang w:val="fr-FR"/>
        </w:rPr>
        <w:fldChar w:fldCharType="end"/>
      </w:r>
      <w:r w:rsidRPr="00C24512">
        <w:rPr>
          <w:lang w:val="fr-FR"/>
        </w:rPr>
        <w:t xml:space="preserve">.  La requérante allègue que le refus opposé à sa demande de changement de prénom </w:t>
      </w:r>
      <w:r w:rsidR="00103B2B" w:rsidRPr="00C24512">
        <w:rPr>
          <w:lang w:val="fr-FR"/>
        </w:rPr>
        <w:t>au motif qu</w:t>
      </w:r>
      <w:r w:rsidR="00C24512" w:rsidRPr="00C24512">
        <w:rPr>
          <w:lang w:val="fr-FR"/>
        </w:rPr>
        <w:t>’</w:t>
      </w:r>
      <w:r w:rsidR="00103B2B" w:rsidRPr="00C24512">
        <w:rPr>
          <w:lang w:val="fr-FR"/>
        </w:rPr>
        <w:t>elle n</w:t>
      </w:r>
      <w:r w:rsidR="00C24512" w:rsidRPr="00C24512">
        <w:rPr>
          <w:lang w:val="fr-FR"/>
        </w:rPr>
        <w:t>’</w:t>
      </w:r>
      <w:r w:rsidR="00103B2B" w:rsidRPr="00C24512">
        <w:rPr>
          <w:lang w:val="fr-FR"/>
        </w:rPr>
        <w:t>avait pas encore effectué l</w:t>
      </w:r>
      <w:r w:rsidR="00C24512" w:rsidRPr="00C24512">
        <w:rPr>
          <w:lang w:val="fr-FR"/>
        </w:rPr>
        <w:t>’</w:t>
      </w:r>
      <w:r w:rsidR="00103B2B" w:rsidRPr="00C24512">
        <w:rPr>
          <w:lang w:val="fr-FR"/>
        </w:rPr>
        <w:t xml:space="preserve">opération de conversion sexuelle </w:t>
      </w:r>
      <w:r w:rsidRPr="00C24512">
        <w:rPr>
          <w:lang w:val="fr-FR"/>
        </w:rPr>
        <w:t xml:space="preserve">a porté atteinte à son </w:t>
      </w:r>
      <w:r w:rsidR="007B6DB1" w:rsidRPr="00C24512">
        <w:rPr>
          <w:lang w:val="fr-FR"/>
        </w:rPr>
        <w:t xml:space="preserve">égard au </w:t>
      </w:r>
      <w:r w:rsidRPr="00C24512">
        <w:rPr>
          <w:lang w:val="fr-FR"/>
        </w:rPr>
        <w:t xml:space="preserve">droit au respect de </w:t>
      </w:r>
      <w:r w:rsidR="007B6DB1" w:rsidRPr="00C24512">
        <w:rPr>
          <w:lang w:val="fr-FR"/>
        </w:rPr>
        <w:t>l</w:t>
      </w:r>
      <w:r w:rsidRPr="00C24512">
        <w:rPr>
          <w:lang w:val="fr-FR"/>
        </w:rPr>
        <w:t>a vie privée garanti par l</w:t>
      </w:r>
      <w:r w:rsidR="00C24512" w:rsidRPr="00C24512">
        <w:rPr>
          <w:lang w:val="fr-FR"/>
        </w:rPr>
        <w:t>’</w:t>
      </w:r>
      <w:r w:rsidRPr="00C24512">
        <w:rPr>
          <w:lang w:val="fr-FR"/>
        </w:rPr>
        <w:t>article 8 de la Convention, aux termes duquel :</w:t>
      </w:r>
    </w:p>
    <w:p w:rsidR="005B5811" w:rsidRPr="00C24512" w:rsidRDefault="008F7DEC" w:rsidP="00C24512">
      <w:pPr>
        <w:pStyle w:val="ECHRParaQuote"/>
        <w:rPr>
          <w:lang w:val="fr-FR"/>
        </w:rPr>
      </w:pPr>
      <w:r w:rsidRPr="00C24512">
        <w:rPr>
          <w:lang w:val="fr-FR"/>
        </w:rPr>
        <w:t>« </w:t>
      </w:r>
      <w:r w:rsidR="005B5811" w:rsidRPr="00C24512">
        <w:rPr>
          <w:lang w:val="fr-FR"/>
        </w:rPr>
        <w:t>1. Toute personne a droit au respect de sa vie privée et familiale, de son domicile et de sa correspondance.</w:t>
      </w:r>
    </w:p>
    <w:p w:rsidR="005B5811" w:rsidRPr="00C24512" w:rsidRDefault="005B5811" w:rsidP="00C24512">
      <w:pPr>
        <w:pStyle w:val="ECHRParaQuote"/>
        <w:rPr>
          <w:lang w:val="fr-FR"/>
        </w:rPr>
      </w:pPr>
      <w:r w:rsidRPr="00C24512">
        <w:rPr>
          <w:lang w:val="fr-FR"/>
        </w:rPr>
        <w:t>2. Il ne peut y avoir ingérence d</w:t>
      </w:r>
      <w:r w:rsidR="00C24512" w:rsidRPr="00C24512">
        <w:rPr>
          <w:lang w:val="fr-FR"/>
        </w:rPr>
        <w:t>’</w:t>
      </w:r>
      <w:r w:rsidRPr="00C24512">
        <w:rPr>
          <w:lang w:val="fr-FR"/>
        </w:rPr>
        <w:t>une autorité publique dans l</w:t>
      </w:r>
      <w:r w:rsidR="00C24512" w:rsidRPr="00C24512">
        <w:rPr>
          <w:lang w:val="fr-FR"/>
        </w:rPr>
        <w:t>’</w:t>
      </w:r>
      <w:r w:rsidRPr="00C24512">
        <w:rPr>
          <w:lang w:val="fr-FR"/>
        </w:rPr>
        <w:t>exercice de ce droit que pour autant que cette ingérence est prévue par la loi et qu</w:t>
      </w:r>
      <w:r w:rsidR="00C24512" w:rsidRPr="00C24512">
        <w:rPr>
          <w:lang w:val="fr-FR"/>
        </w:rPr>
        <w:t>’</w:t>
      </w:r>
      <w:r w:rsidRPr="00C24512">
        <w:rPr>
          <w:lang w:val="fr-FR"/>
        </w:rPr>
        <w:t>elle constitue une mesure qui, dans une société démocratique, est nécessaire à la sécurité nationale, à la sûreté publique, au bien</w:t>
      </w:r>
      <w:r w:rsidRPr="00C24512">
        <w:rPr>
          <w:rFonts w:ascii="MS Mincho" w:eastAsia="MS Mincho" w:hAnsi="MS Mincho" w:cs="MS Mincho" w:hint="eastAsia"/>
          <w:lang w:val="fr-FR"/>
        </w:rPr>
        <w:t>‑</w:t>
      </w:r>
      <w:r w:rsidRPr="00C24512">
        <w:rPr>
          <w:rFonts w:ascii="Times New Roman" w:hAnsi="Times New Roman" w:cs="Times New Roman"/>
          <w:lang w:val="fr-FR"/>
        </w:rPr>
        <w:t>ê</w:t>
      </w:r>
      <w:r w:rsidRPr="00C24512">
        <w:rPr>
          <w:lang w:val="fr-FR"/>
        </w:rPr>
        <w:t xml:space="preserve">tre </w:t>
      </w:r>
      <w:r w:rsidRPr="00C24512">
        <w:rPr>
          <w:rFonts w:ascii="Times New Roman" w:hAnsi="Times New Roman" w:cs="Times New Roman"/>
          <w:lang w:val="fr-FR"/>
        </w:rPr>
        <w:t>é</w:t>
      </w:r>
      <w:r w:rsidRPr="00C24512">
        <w:rPr>
          <w:lang w:val="fr-FR"/>
        </w:rPr>
        <w:t xml:space="preserve">conomique du pays, </w:t>
      </w:r>
      <w:r w:rsidRPr="00C24512">
        <w:rPr>
          <w:rFonts w:ascii="Times New Roman" w:hAnsi="Times New Roman" w:cs="Times New Roman"/>
          <w:lang w:val="fr-FR"/>
        </w:rPr>
        <w:t>à</w:t>
      </w:r>
      <w:r w:rsidRPr="00C24512">
        <w:rPr>
          <w:lang w:val="fr-FR"/>
        </w:rPr>
        <w:t xml:space="preserve"> la d</w:t>
      </w:r>
      <w:r w:rsidRPr="00C24512">
        <w:rPr>
          <w:rFonts w:ascii="Times New Roman" w:hAnsi="Times New Roman" w:cs="Times New Roman"/>
          <w:lang w:val="fr-FR"/>
        </w:rPr>
        <w:t>é</w:t>
      </w:r>
      <w:r w:rsidRPr="00C24512">
        <w:rPr>
          <w:lang w:val="fr-FR"/>
        </w:rPr>
        <w:t>fense de l</w:t>
      </w:r>
      <w:r w:rsidR="00C24512" w:rsidRPr="00C24512">
        <w:rPr>
          <w:rFonts w:ascii="Times New Roman" w:hAnsi="Times New Roman" w:cs="Times New Roman"/>
          <w:lang w:val="fr-FR"/>
        </w:rPr>
        <w:t>’</w:t>
      </w:r>
      <w:r w:rsidRPr="00C24512">
        <w:rPr>
          <w:lang w:val="fr-FR"/>
        </w:rPr>
        <w:t xml:space="preserve">ordre et </w:t>
      </w:r>
      <w:r w:rsidRPr="00C24512">
        <w:rPr>
          <w:rFonts w:ascii="Times New Roman" w:hAnsi="Times New Roman" w:cs="Times New Roman"/>
          <w:lang w:val="fr-FR"/>
        </w:rPr>
        <w:t>à</w:t>
      </w:r>
      <w:r w:rsidRPr="00C24512">
        <w:rPr>
          <w:lang w:val="fr-FR"/>
        </w:rPr>
        <w:t xml:space="preserve"> la pr</w:t>
      </w:r>
      <w:r w:rsidRPr="00C24512">
        <w:rPr>
          <w:rFonts w:ascii="Times New Roman" w:hAnsi="Times New Roman" w:cs="Times New Roman"/>
          <w:lang w:val="fr-FR"/>
        </w:rPr>
        <w:t>é</w:t>
      </w:r>
      <w:r w:rsidRPr="00C24512">
        <w:rPr>
          <w:lang w:val="fr-FR"/>
        </w:rPr>
        <w:t>vention des infractions p</w:t>
      </w:r>
      <w:r w:rsidRPr="00C24512">
        <w:rPr>
          <w:rFonts w:ascii="Times New Roman" w:hAnsi="Times New Roman" w:cs="Times New Roman"/>
          <w:lang w:val="fr-FR"/>
        </w:rPr>
        <w:t>é</w:t>
      </w:r>
      <w:r w:rsidRPr="00C24512">
        <w:rPr>
          <w:lang w:val="fr-FR"/>
        </w:rPr>
        <w:t xml:space="preserve">nales, </w:t>
      </w:r>
      <w:r w:rsidRPr="00C24512">
        <w:rPr>
          <w:rFonts w:ascii="Times New Roman" w:hAnsi="Times New Roman" w:cs="Times New Roman"/>
          <w:lang w:val="fr-FR"/>
        </w:rPr>
        <w:t>à</w:t>
      </w:r>
      <w:r w:rsidRPr="00C24512">
        <w:rPr>
          <w:lang w:val="fr-FR"/>
        </w:rPr>
        <w:t xml:space="preserve"> la protection de la sant</w:t>
      </w:r>
      <w:r w:rsidRPr="00C24512">
        <w:rPr>
          <w:rFonts w:ascii="Times New Roman" w:hAnsi="Times New Roman" w:cs="Times New Roman"/>
          <w:lang w:val="fr-FR"/>
        </w:rPr>
        <w:t>é</w:t>
      </w:r>
      <w:r w:rsidRPr="00C24512">
        <w:rPr>
          <w:lang w:val="fr-FR"/>
        </w:rPr>
        <w:t xml:space="preserve"> ou de la morale, ou </w:t>
      </w:r>
      <w:r w:rsidRPr="00C24512">
        <w:rPr>
          <w:rFonts w:ascii="Times New Roman" w:hAnsi="Times New Roman" w:cs="Times New Roman"/>
          <w:lang w:val="fr-FR"/>
        </w:rPr>
        <w:t>à</w:t>
      </w:r>
      <w:r w:rsidRPr="00C24512">
        <w:rPr>
          <w:lang w:val="fr-FR"/>
        </w:rPr>
        <w:t xml:space="preserve"> la protection des droits et libert</w:t>
      </w:r>
      <w:r w:rsidRPr="00C24512">
        <w:rPr>
          <w:rFonts w:ascii="Times New Roman" w:hAnsi="Times New Roman" w:cs="Times New Roman"/>
          <w:lang w:val="fr-FR"/>
        </w:rPr>
        <w:t>é</w:t>
      </w:r>
      <w:r w:rsidRPr="00C24512">
        <w:rPr>
          <w:lang w:val="fr-FR"/>
        </w:rPr>
        <w:t>s d</w:t>
      </w:r>
      <w:r w:rsidR="00C24512" w:rsidRPr="00C24512">
        <w:rPr>
          <w:rFonts w:ascii="Times New Roman" w:hAnsi="Times New Roman" w:cs="Times New Roman"/>
          <w:lang w:val="fr-FR"/>
        </w:rPr>
        <w:t>’</w:t>
      </w:r>
      <w:r w:rsidR="008F7DEC" w:rsidRPr="00C24512">
        <w:rPr>
          <w:lang w:val="fr-FR"/>
        </w:rPr>
        <w:t>autrui. </w:t>
      </w:r>
      <w:r w:rsidRPr="00C24512">
        <w:rPr>
          <w:rFonts w:ascii="Times New Roman" w:hAnsi="Times New Roman" w:cs="Times New Roman"/>
          <w:lang w:val="fr-FR"/>
        </w:rPr>
        <w:t>»</w:t>
      </w:r>
    </w:p>
    <w:p w:rsidR="005B5811" w:rsidRPr="00C24512" w:rsidRDefault="005B5811" w:rsidP="00C24512">
      <w:pPr>
        <w:pStyle w:val="ECHRPara"/>
        <w:rPr>
          <w:lang w:val="fr-FR"/>
        </w:rPr>
      </w:pPr>
      <w:r w:rsidRPr="00C24512">
        <w:rPr>
          <w:lang w:val="fr-FR"/>
        </w:rPr>
        <w:fldChar w:fldCharType="begin"/>
      </w:r>
      <w:r w:rsidRPr="00C24512">
        <w:rPr>
          <w:lang w:val="fr-FR"/>
        </w:rPr>
        <w:instrText xml:space="preserve"> SEQ level0 \*arabic </w:instrText>
      </w:r>
      <w:r w:rsidRPr="00C24512">
        <w:rPr>
          <w:lang w:val="fr-FR"/>
        </w:rPr>
        <w:fldChar w:fldCharType="separate"/>
      </w:r>
      <w:r w:rsidR="00C24512" w:rsidRPr="00C24512">
        <w:rPr>
          <w:noProof/>
          <w:lang w:val="fr-FR"/>
        </w:rPr>
        <w:t>30</w:t>
      </w:r>
      <w:r w:rsidRPr="00C24512">
        <w:rPr>
          <w:lang w:val="fr-FR"/>
        </w:rPr>
        <w:fldChar w:fldCharType="end"/>
      </w:r>
      <w:r w:rsidRPr="00C24512">
        <w:rPr>
          <w:lang w:val="fr-FR"/>
        </w:rPr>
        <w:t>.  La requérante invoque également l</w:t>
      </w:r>
      <w:r w:rsidR="00C24512" w:rsidRPr="00C24512">
        <w:rPr>
          <w:lang w:val="fr-FR"/>
        </w:rPr>
        <w:t>’</w:t>
      </w:r>
      <w:r w:rsidRPr="00C24512">
        <w:rPr>
          <w:lang w:val="fr-FR"/>
        </w:rPr>
        <w:t>article 3</w:t>
      </w:r>
      <w:r w:rsidR="007B6DB1" w:rsidRPr="00C24512">
        <w:rPr>
          <w:lang w:val="fr-FR"/>
        </w:rPr>
        <w:t xml:space="preserve"> de la Convention</w:t>
      </w:r>
      <w:r w:rsidRPr="00C24512">
        <w:rPr>
          <w:lang w:val="fr-FR"/>
        </w:rPr>
        <w:t>, ainsi libellé :</w:t>
      </w:r>
    </w:p>
    <w:p w:rsidR="005B5811" w:rsidRPr="00C24512" w:rsidRDefault="008F7DEC" w:rsidP="00C24512">
      <w:pPr>
        <w:pStyle w:val="ECHRParaQuote"/>
        <w:rPr>
          <w:lang w:val="fr-FR"/>
        </w:rPr>
      </w:pPr>
      <w:r w:rsidRPr="00C24512">
        <w:rPr>
          <w:lang w:val="fr-FR"/>
        </w:rPr>
        <w:t>« </w:t>
      </w:r>
      <w:r w:rsidR="005B5811" w:rsidRPr="00C24512">
        <w:rPr>
          <w:lang w:val="fr-FR"/>
        </w:rPr>
        <w:t>Nul ne peut être soumis à la torture ni à des peines ou trait</w:t>
      </w:r>
      <w:r w:rsidRPr="00C24512">
        <w:rPr>
          <w:lang w:val="fr-FR"/>
        </w:rPr>
        <w:t>ements inhumains ou dégradants. </w:t>
      </w:r>
      <w:r w:rsidR="005B5811" w:rsidRPr="00C24512">
        <w:rPr>
          <w:lang w:val="fr-FR"/>
        </w:rPr>
        <w:t>»</w:t>
      </w:r>
    </w:p>
    <w:p w:rsidR="005B5811" w:rsidRPr="00C24512" w:rsidRDefault="005B5811" w:rsidP="00C24512">
      <w:pPr>
        <w:pStyle w:val="ECHRPara"/>
        <w:rPr>
          <w:lang w:val="fr-FR"/>
        </w:rPr>
      </w:pPr>
      <w:r w:rsidRPr="00C24512">
        <w:rPr>
          <w:lang w:val="fr-FR"/>
        </w:rPr>
        <w:lastRenderedPageBreak/>
        <w:fldChar w:fldCharType="begin"/>
      </w:r>
      <w:r w:rsidRPr="00C24512">
        <w:rPr>
          <w:lang w:val="fr-FR"/>
        </w:rPr>
        <w:instrText xml:space="preserve"> SEQ level0 \*arabic </w:instrText>
      </w:r>
      <w:r w:rsidRPr="00C24512">
        <w:rPr>
          <w:lang w:val="fr-FR"/>
        </w:rPr>
        <w:fldChar w:fldCharType="separate"/>
      </w:r>
      <w:r w:rsidR="00C24512" w:rsidRPr="00C24512">
        <w:rPr>
          <w:noProof/>
          <w:lang w:val="fr-FR"/>
        </w:rPr>
        <w:t>31</w:t>
      </w:r>
      <w:r w:rsidRPr="00C24512">
        <w:rPr>
          <w:lang w:val="fr-FR"/>
        </w:rPr>
        <w:fldChar w:fldCharType="end"/>
      </w:r>
      <w:r w:rsidRPr="00C24512">
        <w:rPr>
          <w:lang w:val="fr-FR"/>
        </w:rPr>
        <w:t>.  Maîtresse de la qualification juridique des faits, la Cour juge approprié d</w:t>
      </w:r>
      <w:r w:rsidR="00C24512" w:rsidRPr="00C24512">
        <w:rPr>
          <w:lang w:val="fr-FR"/>
        </w:rPr>
        <w:t>’</w:t>
      </w:r>
      <w:r w:rsidRPr="00C24512">
        <w:rPr>
          <w:lang w:val="fr-FR"/>
        </w:rPr>
        <w:t>examiner les allégations de la requérante sous l</w:t>
      </w:r>
      <w:r w:rsidR="00C24512" w:rsidRPr="00C24512">
        <w:rPr>
          <w:lang w:val="fr-FR"/>
        </w:rPr>
        <w:t>’</w:t>
      </w:r>
      <w:r w:rsidRPr="00C24512">
        <w:rPr>
          <w:lang w:val="fr-FR"/>
        </w:rPr>
        <w:t>angle du seul article 8</w:t>
      </w:r>
      <w:r w:rsidR="007B6DB1" w:rsidRPr="00C24512">
        <w:rPr>
          <w:lang w:val="fr-FR"/>
        </w:rPr>
        <w:t xml:space="preserve"> de la Convention </w:t>
      </w:r>
      <w:r w:rsidRPr="00C24512">
        <w:rPr>
          <w:lang w:val="fr-FR"/>
        </w:rPr>
        <w:t>(</w:t>
      </w:r>
      <w:r w:rsidRPr="00C24512">
        <w:rPr>
          <w:i/>
          <w:lang w:val="fr-FR"/>
        </w:rPr>
        <w:t>A.P., Garçon et Nicot c. France</w:t>
      </w:r>
      <w:r w:rsidRPr="00C24512">
        <w:rPr>
          <w:lang w:val="fr-FR"/>
        </w:rPr>
        <w:t>, n</w:t>
      </w:r>
      <w:r w:rsidRPr="00C24512">
        <w:rPr>
          <w:vertAlign w:val="superscript"/>
          <w:lang w:val="fr-FR"/>
        </w:rPr>
        <w:t>os</w:t>
      </w:r>
      <w:r w:rsidR="008F7DEC" w:rsidRPr="00C24512">
        <w:rPr>
          <w:lang w:val="fr-FR"/>
        </w:rPr>
        <w:t xml:space="preserve"> 79885/12 et </w:t>
      </w:r>
      <w:r w:rsidRPr="00C24512">
        <w:rPr>
          <w:lang w:val="fr-FR"/>
        </w:rPr>
        <w:t>2 autres, § 149, CEDH 2017 (extraits)</w:t>
      </w:r>
      <w:r w:rsidR="00916696" w:rsidRPr="00C24512">
        <w:rPr>
          <w:lang w:val="fr-FR"/>
        </w:rPr>
        <w:t xml:space="preserve"> et </w:t>
      </w:r>
      <w:proofErr w:type="spellStart"/>
      <w:r w:rsidR="00916696" w:rsidRPr="00C24512">
        <w:rPr>
          <w:i/>
          <w:lang w:val="fr-FR"/>
        </w:rPr>
        <w:t>Radomilja</w:t>
      </w:r>
      <w:proofErr w:type="spellEnd"/>
      <w:r w:rsidR="00916696" w:rsidRPr="00C24512">
        <w:rPr>
          <w:i/>
          <w:lang w:val="fr-FR"/>
        </w:rPr>
        <w:t xml:space="preserve"> et autres c. Croatie</w:t>
      </w:r>
      <w:r w:rsidR="00916696" w:rsidRPr="00C24512">
        <w:rPr>
          <w:lang w:val="fr-FR"/>
        </w:rPr>
        <w:t xml:space="preserve"> [GC], n</w:t>
      </w:r>
      <w:r w:rsidR="00916696" w:rsidRPr="00C24512">
        <w:rPr>
          <w:vertAlign w:val="superscript"/>
          <w:lang w:val="fr-FR"/>
        </w:rPr>
        <w:t>os</w:t>
      </w:r>
      <w:r w:rsidR="00916696" w:rsidRPr="00C24512">
        <w:rPr>
          <w:lang w:val="fr-FR"/>
        </w:rPr>
        <w:t xml:space="preserve"> 37685/10 et 22768/12, § 126</w:t>
      </w:r>
      <w:r w:rsidRPr="00C24512">
        <w:rPr>
          <w:lang w:val="fr-FR"/>
        </w:rPr>
        <w:t>).</w:t>
      </w:r>
    </w:p>
    <w:p w:rsidR="00E82501" w:rsidRPr="00C24512" w:rsidRDefault="005B5811" w:rsidP="00C24512">
      <w:pPr>
        <w:pStyle w:val="ECHRHeading2"/>
        <w:rPr>
          <w:lang w:val="fr-FR"/>
        </w:rPr>
      </w:pPr>
      <w:r w:rsidRPr="00C24512">
        <w:rPr>
          <w:lang w:val="fr-FR"/>
        </w:rPr>
        <w:t>A. </w:t>
      </w:r>
      <w:r w:rsidR="008F7DEC" w:rsidRPr="00C24512">
        <w:rPr>
          <w:lang w:val="fr-FR"/>
        </w:rPr>
        <w:t> </w:t>
      </w:r>
      <w:r w:rsidR="00E82501" w:rsidRPr="00C24512">
        <w:rPr>
          <w:lang w:val="fr-FR"/>
        </w:rPr>
        <w:t>Sur la recevabilité</w:t>
      </w:r>
    </w:p>
    <w:p w:rsidR="005B5811" w:rsidRPr="00C24512" w:rsidRDefault="00E82501" w:rsidP="00C24512">
      <w:pPr>
        <w:pStyle w:val="ECHRHeading3"/>
        <w:rPr>
          <w:lang w:val="fr-FR"/>
        </w:rPr>
      </w:pPr>
      <w:r w:rsidRPr="00C24512">
        <w:rPr>
          <w:lang w:val="fr-FR"/>
        </w:rPr>
        <w:t>1.  Sur la qualité de victime</w:t>
      </w:r>
    </w:p>
    <w:p w:rsidR="00671DC4" w:rsidRPr="00C24512" w:rsidRDefault="00E82501" w:rsidP="00C24512">
      <w:pPr>
        <w:pStyle w:val="ECHRPara"/>
        <w:rPr>
          <w:lang w:val="fr-FR"/>
        </w:rPr>
      </w:pPr>
      <w:r w:rsidRPr="00C24512">
        <w:rPr>
          <w:lang w:val="fr-FR"/>
        </w:rPr>
        <w:fldChar w:fldCharType="begin"/>
      </w:r>
      <w:r w:rsidRPr="00C24512">
        <w:rPr>
          <w:lang w:val="fr-FR"/>
        </w:rPr>
        <w:instrText xml:space="preserve"> SEQ level0 \*arabic </w:instrText>
      </w:r>
      <w:r w:rsidRPr="00C24512">
        <w:rPr>
          <w:lang w:val="fr-FR"/>
        </w:rPr>
        <w:fldChar w:fldCharType="separate"/>
      </w:r>
      <w:r w:rsidR="00C24512" w:rsidRPr="00C24512">
        <w:rPr>
          <w:noProof/>
          <w:lang w:val="fr-FR"/>
        </w:rPr>
        <w:t>32</w:t>
      </w:r>
      <w:r w:rsidRPr="00C24512">
        <w:rPr>
          <w:lang w:val="fr-FR"/>
        </w:rPr>
        <w:fldChar w:fldCharType="end"/>
      </w:r>
      <w:r w:rsidRPr="00C24512">
        <w:rPr>
          <w:lang w:val="fr-FR"/>
        </w:rPr>
        <w:t>.  </w:t>
      </w:r>
      <w:r w:rsidR="00020FE1" w:rsidRPr="00C24512">
        <w:rPr>
          <w:lang w:val="fr-FR"/>
        </w:rPr>
        <w:t>La</w:t>
      </w:r>
      <w:r w:rsidR="001D445C" w:rsidRPr="00C24512">
        <w:rPr>
          <w:lang w:val="fr-FR"/>
        </w:rPr>
        <w:t xml:space="preserve"> requérante</w:t>
      </w:r>
      <w:r w:rsidR="00020FE1" w:rsidRPr="00C24512">
        <w:rPr>
          <w:lang w:val="fr-FR"/>
        </w:rPr>
        <w:t xml:space="preserve"> </w:t>
      </w:r>
      <w:r w:rsidR="00CB71CB" w:rsidRPr="00C24512">
        <w:rPr>
          <w:lang w:val="fr-FR"/>
        </w:rPr>
        <w:t>estime qu</w:t>
      </w:r>
      <w:r w:rsidR="00C24512" w:rsidRPr="00C24512">
        <w:rPr>
          <w:lang w:val="fr-FR"/>
        </w:rPr>
        <w:t>’</w:t>
      </w:r>
      <w:r w:rsidR="00CB71CB" w:rsidRPr="00C24512">
        <w:rPr>
          <w:lang w:val="fr-FR"/>
        </w:rPr>
        <w:t>elle est toujours</w:t>
      </w:r>
      <w:r w:rsidR="00020FE1" w:rsidRPr="00C24512">
        <w:rPr>
          <w:lang w:val="fr-FR"/>
        </w:rPr>
        <w:t xml:space="preserve"> </w:t>
      </w:r>
      <w:r w:rsidR="00CB71CB" w:rsidRPr="00C24512">
        <w:rPr>
          <w:lang w:val="fr-FR"/>
        </w:rPr>
        <w:t>victime de la violation alléguée</w:t>
      </w:r>
      <w:r w:rsidR="001D445C" w:rsidRPr="00C24512">
        <w:rPr>
          <w:lang w:val="fr-FR"/>
        </w:rPr>
        <w:t xml:space="preserve"> </w:t>
      </w:r>
      <w:r w:rsidR="00C64130" w:rsidRPr="00C24512">
        <w:rPr>
          <w:lang w:val="fr-FR"/>
        </w:rPr>
        <w:t xml:space="preserve">devant la Cour </w:t>
      </w:r>
      <w:r w:rsidR="00E14FC6" w:rsidRPr="00C24512">
        <w:rPr>
          <w:lang w:val="fr-FR"/>
        </w:rPr>
        <w:t>malgré le fait d</w:t>
      </w:r>
      <w:r w:rsidR="00C24512" w:rsidRPr="00C24512">
        <w:rPr>
          <w:lang w:val="fr-FR"/>
        </w:rPr>
        <w:t>’</w:t>
      </w:r>
      <w:r w:rsidR="00E14FC6" w:rsidRPr="00C24512">
        <w:rPr>
          <w:lang w:val="fr-FR"/>
        </w:rPr>
        <w:t>avoir été</w:t>
      </w:r>
      <w:r w:rsidR="009F6DFE" w:rsidRPr="00C24512">
        <w:rPr>
          <w:lang w:val="fr-FR"/>
        </w:rPr>
        <w:t xml:space="preserve"> autorisée à changer </w:t>
      </w:r>
      <w:r w:rsidR="00E14FC6" w:rsidRPr="00C24512">
        <w:rPr>
          <w:lang w:val="fr-FR"/>
        </w:rPr>
        <w:t>de nom</w:t>
      </w:r>
      <w:r w:rsidR="009F6DFE" w:rsidRPr="00C24512">
        <w:rPr>
          <w:lang w:val="fr-FR"/>
        </w:rPr>
        <w:t xml:space="preserve"> par </w:t>
      </w:r>
      <w:r w:rsidR="00E14FC6" w:rsidRPr="00C24512">
        <w:rPr>
          <w:lang w:val="fr-FR"/>
        </w:rPr>
        <w:t>le</w:t>
      </w:r>
      <w:r w:rsidR="009F6DFE" w:rsidRPr="00C24512">
        <w:rPr>
          <w:lang w:val="fr-FR"/>
        </w:rPr>
        <w:t xml:space="preserve"> jugement du tribunal </w:t>
      </w:r>
      <w:r w:rsidR="004A52B6" w:rsidRPr="00C24512">
        <w:rPr>
          <w:lang w:val="fr-FR"/>
        </w:rPr>
        <w:t>de Rome du 10 octobre 2003</w:t>
      </w:r>
      <w:r w:rsidR="00644DFA" w:rsidRPr="00C24512">
        <w:rPr>
          <w:lang w:val="fr-FR"/>
        </w:rPr>
        <w:t>.</w:t>
      </w:r>
    </w:p>
    <w:p w:rsidR="004A52B6" w:rsidRPr="00C24512" w:rsidRDefault="00E14FC6" w:rsidP="00C24512">
      <w:pPr>
        <w:pStyle w:val="ECHRPara"/>
        <w:rPr>
          <w:i/>
          <w:lang w:val="fr-FR"/>
        </w:rPr>
      </w:pPr>
      <w:r w:rsidRPr="00C24512">
        <w:rPr>
          <w:lang w:val="fr-FR"/>
        </w:rPr>
        <w:fldChar w:fldCharType="begin"/>
      </w:r>
      <w:r w:rsidRPr="00C24512">
        <w:rPr>
          <w:lang w:val="fr-FR"/>
        </w:rPr>
        <w:instrText xml:space="preserve"> SEQ level0 \*arabic </w:instrText>
      </w:r>
      <w:r w:rsidRPr="00C24512">
        <w:rPr>
          <w:lang w:val="fr-FR"/>
        </w:rPr>
        <w:fldChar w:fldCharType="separate"/>
      </w:r>
      <w:r w:rsidR="00C24512" w:rsidRPr="00C24512">
        <w:rPr>
          <w:noProof/>
          <w:lang w:val="fr-FR"/>
        </w:rPr>
        <w:t>33</w:t>
      </w:r>
      <w:r w:rsidRPr="00C24512">
        <w:rPr>
          <w:lang w:val="fr-FR"/>
        </w:rPr>
        <w:fldChar w:fldCharType="end"/>
      </w:r>
      <w:r w:rsidRPr="00C24512">
        <w:rPr>
          <w:lang w:val="fr-FR"/>
        </w:rPr>
        <w:t>.  Bien que le</w:t>
      </w:r>
      <w:r w:rsidR="00020FE1" w:rsidRPr="00C24512">
        <w:rPr>
          <w:lang w:val="fr-FR"/>
        </w:rPr>
        <w:t xml:space="preserve"> Gouvernement n</w:t>
      </w:r>
      <w:r w:rsidR="00C24512" w:rsidRPr="00C24512">
        <w:rPr>
          <w:lang w:val="fr-FR"/>
        </w:rPr>
        <w:t>’</w:t>
      </w:r>
      <w:r w:rsidR="00020FE1" w:rsidRPr="00C24512">
        <w:rPr>
          <w:lang w:val="fr-FR"/>
        </w:rPr>
        <w:t>a</w:t>
      </w:r>
      <w:r w:rsidRPr="00C24512">
        <w:rPr>
          <w:lang w:val="fr-FR"/>
        </w:rPr>
        <w:t>it</w:t>
      </w:r>
      <w:r w:rsidR="00020FE1" w:rsidRPr="00C24512">
        <w:rPr>
          <w:lang w:val="fr-FR"/>
        </w:rPr>
        <w:t xml:space="preserve"> pas soulevé </w:t>
      </w:r>
      <w:r w:rsidRPr="00C24512">
        <w:rPr>
          <w:lang w:val="fr-FR"/>
        </w:rPr>
        <w:t>d</w:t>
      </w:r>
      <w:r w:rsidR="00C24512" w:rsidRPr="00C24512">
        <w:rPr>
          <w:lang w:val="fr-FR"/>
        </w:rPr>
        <w:t>’</w:t>
      </w:r>
      <w:r w:rsidR="00020FE1" w:rsidRPr="00C24512">
        <w:rPr>
          <w:lang w:val="fr-FR"/>
        </w:rPr>
        <w:t xml:space="preserve">exception </w:t>
      </w:r>
      <w:r w:rsidR="00B66B74" w:rsidRPr="00C24512">
        <w:rPr>
          <w:lang w:val="fr-FR"/>
        </w:rPr>
        <w:t xml:space="preserve">concernant la qualité de victime de la requérante, </w:t>
      </w:r>
      <w:r w:rsidRPr="00C24512">
        <w:rPr>
          <w:lang w:val="fr-FR"/>
        </w:rPr>
        <w:t>rien n</w:t>
      </w:r>
      <w:r w:rsidR="00C24512" w:rsidRPr="00C24512">
        <w:rPr>
          <w:lang w:val="fr-FR"/>
        </w:rPr>
        <w:t>’</w:t>
      </w:r>
      <w:r w:rsidR="00020FE1" w:rsidRPr="00C24512">
        <w:rPr>
          <w:lang w:val="fr-FR"/>
        </w:rPr>
        <w:t xml:space="preserve">empêche </w:t>
      </w:r>
      <w:r w:rsidRPr="00C24512">
        <w:rPr>
          <w:lang w:val="fr-FR"/>
        </w:rPr>
        <w:t xml:space="preserve">la Cour </w:t>
      </w:r>
      <w:r w:rsidR="00020FE1" w:rsidRPr="00C24512">
        <w:rPr>
          <w:lang w:val="fr-FR"/>
        </w:rPr>
        <w:t>d</w:t>
      </w:r>
      <w:r w:rsidR="00C24512" w:rsidRPr="00C24512">
        <w:rPr>
          <w:lang w:val="fr-FR"/>
        </w:rPr>
        <w:t>’</w:t>
      </w:r>
      <w:r w:rsidR="00020FE1" w:rsidRPr="00C24512">
        <w:rPr>
          <w:lang w:val="fr-FR"/>
        </w:rPr>
        <w:t xml:space="preserve">examiner </w:t>
      </w:r>
      <w:r w:rsidR="00020FE1" w:rsidRPr="00C24512">
        <w:rPr>
          <w:i/>
          <w:lang w:val="fr-FR"/>
        </w:rPr>
        <w:t>proprio motu</w:t>
      </w:r>
      <w:r w:rsidR="00020FE1" w:rsidRPr="00C24512">
        <w:rPr>
          <w:lang w:val="fr-FR"/>
        </w:rPr>
        <w:t xml:space="preserve"> cette question</w:t>
      </w:r>
      <w:r w:rsidRPr="00C24512">
        <w:rPr>
          <w:lang w:val="fr-FR"/>
        </w:rPr>
        <w:t xml:space="preserve"> dans la mesure où elle touche</w:t>
      </w:r>
      <w:r w:rsidR="00020FE1" w:rsidRPr="00C24512">
        <w:rPr>
          <w:lang w:val="fr-FR"/>
        </w:rPr>
        <w:t xml:space="preserve"> à sa compétence (voir par exemple </w:t>
      </w:r>
      <w:proofErr w:type="spellStart"/>
      <w:r w:rsidR="00020FE1" w:rsidRPr="00C24512">
        <w:rPr>
          <w:i/>
          <w:lang w:val="fr-FR"/>
        </w:rPr>
        <w:t>Buzadji</w:t>
      </w:r>
      <w:proofErr w:type="spellEnd"/>
      <w:r w:rsidR="00020FE1" w:rsidRPr="00C24512">
        <w:rPr>
          <w:i/>
          <w:lang w:val="fr-FR"/>
        </w:rPr>
        <w:t xml:space="preserve"> c. République de Moldova</w:t>
      </w:r>
      <w:r w:rsidR="00020FE1" w:rsidRPr="00C24512">
        <w:rPr>
          <w:lang w:val="fr-FR"/>
        </w:rPr>
        <w:t xml:space="preserve"> [GC], n</w:t>
      </w:r>
      <w:r w:rsidR="00020FE1" w:rsidRPr="00C24512">
        <w:rPr>
          <w:vertAlign w:val="superscript"/>
          <w:lang w:val="fr-FR"/>
        </w:rPr>
        <w:t>o</w:t>
      </w:r>
      <w:r w:rsidRPr="00C24512">
        <w:rPr>
          <w:lang w:val="fr-FR"/>
        </w:rPr>
        <w:t> </w:t>
      </w:r>
      <w:r w:rsidR="00020FE1" w:rsidRPr="00C24512">
        <w:rPr>
          <w:lang w:val="fr-FR"/>
        </w:rPr>
        <w:t>23755/07</w:t>
      </w:r>
      <w:r w:rsidR="008F7DEC" w:rsidRPr="00C24512">
        <w:rPr>
          <w:snapToGrid w:val="0"/>
          <w:lang w:val="fr-FR"/>
        </w:rPr>
        <w:t>, § </w:t>
      </w:r>
      <w:r w:rsidR="00020FE1" w:rsidRPr="00C24512">
        <w:rPr>
          <w:snapToGrid w:val="0"/>
          <w:lang w:val="fr-FR"/>
        </w:rPr>
        <w:t xml:space="preserve">70, </w:t>
      </w:r>
      <w:r w:rsidR="00020FE1" w:rsidRPr="00C24512">
        <w:rPr>
          <w:lang w:val="fr-FR"/>
        </w:rPr>
        <w:t>5 juillet</w:t>
      </w:r>
      <w:r w:rsidR="00020FE1" w:rsidRPr="00C24512">
        <w:rPr>
          <w:snapToGrid w:val="0"/>
          <w:lang w:val="fr-FR"/>
        </w:rPr>
        <w:t xml:space="preserve"> 2016 et </w:t>
      </w:r>
      <w:proofErr w:type="spellStart"/>
      <w:r w:rsidRPr="00C24512">
        <w:rPr>
          <w:i/>
          <w:snapToGrid w:val="0"/>
          <w:lang w:val="fr-FR"/>
        </w:rPr>
        <w:t>Orlandi</w:t>
      </w:r>
      <w:proofErr w:type="spellEnd"/>
      <w:r w:rsidRPr="00C24512">
        <w:rPr>
          <w:i/>
          <w:snapToGrid w:val="0"/>
          <w:lang w:val="fr-FR"/>
        </w:rPr>
        <w:t xml:space="preserve"> et autres c. Italie,</w:t>
      </w:r>
      <w:r w:rsidRPr="00C24512">
        <w:rPr>
          <w:snapToGrid w:val="0"/>
          <w:lang w:val="fr-FR"/>
        </w:rPr>
        <w:t xml:space="preserve"> n</w:t>
      </w:r>
      <w:r w:rsidRPr="00C24512">
        <w:rPr>
          <w:snapToGrid w:val="0"/>
          <w:vertAlign w:val="superscript"/>
          <w:lang w:val="fr-FR"/>
        </w:rPr>
        <w:t>os</w:t>
      </w:r>
      <w:r w:rsidRPr="00C24512">
        <w:rPr>
          <w:snapToGrid w:val="0"/>
          <w:lang w:val="fr-FR"/>
        </w:rPr>
        <w:t xml:space="preserve"> 26431/12 et 3 autres</w:t>
      </w:r>
      <w:r w:rsidR="008F7DEC" w:rsidRPr="00C24512">
        <w:rPr>
          <w:snapToGrid w:val="0"/>
          <w:lang w:val="fr-FR"/>
        </w:rPr>
        <w:t>, § </w:t>
      </w:r>
      <w:r w:rsidRPr="00C24512">
        <w:rPr>
          <w:snapToGrid w:val="0"/>
          <w:lang w:val="fr-FR"/>
        </w:rPr>
        <w:t>117, 14 décembre 2017).</w:t>
      </w:r>
    </w:p>
    <w:p w:rsidR="001D445C" w:rsidRPr="00C24512" w:rsidRDefault="00020FE1" w:rsidP="00C24512">
      <w:pPr>
        <w:pStyle w:val="ECHRPara"/>
        <w:rPr>
          <w:lang w:val="fr-FR"/>
        </w:rPr>
      </w:pPr>
      <w:r w:rsidRPr="00C24512">
        <w:rPr>
          <w:lang w:val="fr-FR"/>
        </w:rPr>
        <w:fldChar w:fldCharType="begin"/>
      </w:r>
      <w:r w:rsidRPr="00C24512">
        <w:rPr>
          <w:lang w:val="fr-FR"/>
        </w:rPr>
        <w:instrText xml:space="preserve"> SEQ level0 \*arabic </w:instrText>
      </w:r>
      <w:r w:rsidRPr="00C24512">
        <w:rPr>
          <w:lang w:val="fr-FR"/>
        </w:rPr>
        <w:fldChar w:fldCharType="separate"/>
      </w:r>
      <w:r w:rsidR="00C24512" w:rsidRPr="00C24512">
        <w:rPr>
          <w:noProof/>
          <w:lang w:val="fr-FR"/>
        </w:rPr>
        <w:t>34</w:t>
      </w:r>
      <w:r w:rsidRPr="00C24512">
        <w:rPr>
          <w:lang w:val="fr-FR"/>
        </w:rPr>
        <w:fldChar w:fldCharType="end"/>
      </w:r>
      <w:r w:rsidRPr="00C24512">
        <w:rPr>
          <w:lang w:val="fr-FR"/>
        </w:rPr>
        <w:t>.  La Cour</w:t>
      </w:r>
      <w:r w:rsidR="00644DFA" w:rsidRPr="00C24512">
        <w:rPr>
          <w:lang w:val="fr-FR"/>
        </w:rPr>
        <w:t xml:space="preserve"> rappelle </w:t>
      </w:r>
      <w:r w:rsidR="001D445C" w:rsidRPr="00C24512">
        <w:rPr>
          <w:lang w:val="fr-FR"/>
        </w:rPr>
        <w:t>qu</w:t>
      </w:r>
      <w:r w:rsidR="00C24512" w:rsidRPr="00C24512">
        <w:rPr>
          <w:lang w:val="fr-FR"/>
        </w:rPr>
        <w:t>’</w:t>
      </w:r>
      <w:r w:rsidR="001D445C" w:rsidRPr="00C24512">
        <w:rPr>
          <w:lang w:val="fr-FR"/>
        </w:rPr>
        <w:t>une décision ou une mesure favorable au requérant ne suffit pas en principe à le priver de la qualité de « victime » aux fins de l</w:t>
      </w:r>
      <w:r w:rsidR="00C24512" w:rsidRPr="00C24512">
        <w:rPr>
          <w:lang w:val="fr-FR"/>
        </w:rPr>
        <w:t>’</w:t>
      </w:r>
      <w:r w:rsidR="001D445C" w:rsidRPr="00C24512">
        <w:rPr>
          <w:lang w:val="fr-FR"/>
        </w:rPr>
        <w:t xml:space="preserve">article 34 de la Convention, sauf si les autorités nationales reconnaissent, explicitement ou en substance, puis réparent, la violation de la Convention (voir, par exemple, </w:t>
      </w:r>
      <w:proofErr w:type="spellStart"/>
      <w:r w:rsidR="001D445C" w:rsidRPr="00C24512">
        <w:rPr>
          <w:i/>
          <w:lang w:val="fr-FR"/>
        </w:rPr>
        <w:t>Eckle</w:t>
      </w:r>
      <w:proofErr w:type="spellEnd"/>
      <w:r w:rsidR="001D445C" w:rsidRPr="00C24512">
        <w:rPr>
          <w:i/>
          <w:lang w:val="fr-FR"/>
        </w:rPr>
        <w:t xml:space="preserve"> c. Allemagne</w:t>
      </w:r>
      <w:r w:rsidR="001D445C" w:rsidRPr="00C24512">
        <w:rPr>
          <w:lang w:val="fr-FR"/>
        </w:rPr>
        <w:t>, 15 juillet 1982, § 66, série A n</w:t>
      </w:r>
      <w:r w:rsidR="00671DC4" w:rsidRPr="00C24512">
        <w:rPr>
          <w:vertAlign w:val="superscript"/>
          <w:lang w:val="fr-FR"/>
        </w:rPr>
        <w:t>o</w:t>
      </w:r>
      <w:r w:rsidR="001D445C" w:rsidRPr="00C24512">
        <w:rPr>
          <w:lang w:val="fr-FR"/>
        </w:rPr>
        <w:t xml:space="preserve"> 51, </w:t>
      </w:r>
      <w:proofErr w:type="spellStart"/>
      <w:r w:rsidR="001D445C" w:rsidRPr="00C24512">
        <w:rPr>
          <w:i/>
          <w:lang w:val="fr-FR"/>
        </w:rPr>
        <w:t>Dalban</w:t>
      </w:r>
      <w:proofErr w:type="spellEnd"/>
      <w:r w:rsidR="001D445C" w:rsidRPr="00C24512">
        <w:rPr>
          <w:i/>
          <w:lang w:val="fr-FR"/>
        </w:rPr>
        <w:t xml:space="preserve"> c. Roumanie</w:t>
      </w:r>
      <w:r w:rsidR="001D445C" w:rsidRPr="00C24512">
        <w:rPr>
          <w:lang w:val="fr-FR"/>
        </w:rPr>
        <w:t xml:space="preserve"> [GC], n</w:t>
      </w:r>
      <w:r w:rsidR="00671DC4" w:rsidRPr="00C24512">
        <w:rPr>
          <w:vertAlign w:val="superscript"/>
          <w:lang w:val="fr-FR"/>
        </w:rPr>
        <w:t>o</w:t>
      </w:r>
      <w:r w:rsidR="008F7DEC" w:rsidRPr="00C24512">
        <w:rPr>
          <w:lang w:val="fr-FR"/>
        </w:rPr>
        <w:t xml:space="preserve"> 28114/95, § 44, CEDH </w:t>
      </w:r>
      <w:r w:rsidR="001D445C" w:rsidRPr="00C24512">
        <w:rPr>
          <w:lang w:val="fr-FR"/>
        </w:rPr>
        <w:t>1999</w:t>
      </w:r>
      <w:r w:rsidR="008F7DEC" w:rsidRPr="00C24512">
        <w:rPr>
          <w:rFonts w:ascii="MS Mincho" w:eastAsia="MS Mincho" w:hAnsi="MS Mincho" w:cs="MS Mincho"/>
          <w:lang w:val="fr-FR"/>
        </w:rPr>
        <w:noBreakHyphen/>
      </w:r>
      <w:r w:rsidR="001D445C" w:rsidRPr="00C24512">
        <w:rPr>
          <w:lang w:val="fr-FR"/>
        </w:rPr>
        <w:t xml:space="preserve">VI, </w:t>
      </w:r>
      <w:proofErr w:type="spellStart"/>
      <w:r w:rsidR="001D445C" w:rsidRPr="00C24512">
        <w:rPr>
          <w:i/>
          <w:lang w:val="fr-FR"/>
        </w:rPr>
        <w:t>Scordino</w:t>
      </w:r>
      <w:proofErr w:type="spellEnd"/>
      <w:r w:rsidR="001D445C" w:rsidRPr="00C24512">
        <w:rPr>
          <w:i/>
          <w:lang w:val="fr-FR"/>
        </w:rPr>
        <w:t xml:space="preserve"> c. Italie</w:t>
      </w:r>
      <w:r w:rsidR="001D445C" w:rsidRPr="00C24512">
        <w:rPr>
          <w:lang w:val="fr-FR"/>
        </w:rPr>
        <w:t xml:space="preserve"> (n</w:t>
      </w:r>
      <w:r w:rsidR="00671DC4" w:rsidRPr="00C24512">
        <w:rPr>
          <w:vertAlign w:val="superscript"/>
          <w:lang w:val="fr-FR"/>
        </w:rPr>
        <w:t>o</w:t>
      </w:r>
      <w:r w:rsidR="001D445C" w:rsidRPr="00C24512">
        <w:rPr>
          <w:lang w:val="fr-FR"/>
        </w:rPr>
        <w:t xml:space="preserve"> 1) [GC], n</w:t>
      </w:r>
      <w:r w:rsidR="00671DC4" w:rsidRPr="00C24512">
        <w:rPr>
          <w:vertAlign w:val="superscript"/>
          <w:lang w:val="fr-FR"/>
        </w:rPr>
        <w:t>o</w:t>
      </w:r>
      <w:r w:rsidR="001D445C" w:rsidRPr="00C24512">
        <w:rPr>
          <w:lang w:val="fr-FR"/>
        </w:rPr>
        <w:t xml:space="preserve"> 36813/97, </w:t>
      </w:r>
      <w:r w:rsidR="001D445C" w:rsidRPr="00C24512">
        <w:rPr>
          <w:rFonts w:ascii="Times New Roman" w:hAnsi="Times New Roman" w:cs="Times New Roman"/>
          <w:lang w:val="fr-FR"/>
        </w:rPr>
        <w:t>§§</w:t>
      </w:r>
      <w:r w:rsidR="001D445C" w:rsidRPr="00C24512">
        <w:rPr>
          <w:lang w:val="fr-FR"/>
        </w:rPr>
        <w:t xml:space="preserve"> 179-180, CEDH 2006</w:t>
      </w:r>
      <w:r w:rsidR="001D445C" w:rsidRPr="00C24512">
        <w:rPr>
          <w:rFonts w:ascii="MS Mincho" w:eastAsia="MS Mincho" w:hAnsi="MS Mincho" w:cs="MS Mincho" w:hint="eastAsia"/>
          <w:lang w:val="fr-FR"/>
        </w:rPr>
        <w:t>‑</w:t>
      </w:r>
      <w:r w:rsidR="001D445C" w:rsidRPr="00C24512">
        <w:rPr>
          <w:lang w:val="fr-FR"/>
        </w:rPr>
        <w:t xml:space="preserve">V, et </w:t>
      </w:r>
      <w:proofErr w:type="spellStart"/>
      <w:r w:rsidR="001D445C" w:rsidRPr="00C24512">
        <w:rPr>
          <w:i/>
          <w:lang w:val="fr-FR"/>
        </w:rPr>
        <w:t>G</w:t>
      </w:r>
      <w:r w:rsidR="001D445C" w:rsidRPr="00C24512">
        <w:rPr>
          <w:rFonts w:ascii="Times New Roman" w:hAnsi="Times New Roman" w:cs="Times New Roman"/>
          <w:i/>
          <w:lang w:val="fr-FR"/>
        </w:rPr>
        <w:t>ä</w:t>
      </w:r>
      <w:r w:rsidR="001D445C" w:rsidRPr="00C24512">
        <w:rPr>
          <w:i/>
          <w:lang w:val="fr-FR"/>
        </w:rPr>
        <w:t>fgen</w:t>
      </w:r>
      <w:proofErr w:type="spellEnd"/>
      <w:r w:rsidR="001D445C" w:rsidRPr="00C24512">
        <w:rPr>
          <w:i/>
          <w:lang w:val="fr-FR"/>
        </w:rPr>
        <w:t xml:space="preserve"> c. Allemagne</w:t>
      </w:r>
      <w:r w:rsidR="001D445C" w:rsidRPr="00C24512">
        <w:rPr>
          <w:lang w:val="fr-FR"/>
        </w:rPr>
        <w:t xml:space="preserve"> [GC], n</w:t>
      </w:r>
      <w:r w:rsidR="00671DC4" w:rsidRPr="00C24512">
        <w:rPr>
          <w:vertAlign w:val="superscript"/>
          <w:lang w:val="fr-FR"/>
        </w:rPr>
        <w:t>o</w:t>
      </w:r>
      <w:r w:rsidR="001D445C" w:rsidRPr="00C24512">
        <w:rPr>
          <w:lang w:val="fr-FR"/>
        </w:rPr>
        <w:t xml:space="preserve"> 22978/05, </w:t>
      </w:r>
      <w:r w:rsidR="001D445C" w:rsidRPr="00C24512">
        <w:rPr>
          <w:rFonts w:ascii="Times New Roman" w:hAnsi="Times New Roman" w:cs="Times New Roman"/>
          <w:lang w:val="fr-FR"/>
        </w:rPr>
        <w:t>§</w:t>
      </w:r>
      <w:r w:rsidR="008F7DEC" w:rsidRPr="00C24512">
        <w:rPr>
          <w:lang w:val="fr-FR"/>
        </w:rPr>
        <w:t xml:space="preserve"> 115, CEDH </w:t>
      </w:r>
      <w:r w:rsidR="001D445C" w:rsidRPr="00C24512">
        <w:rPr>
          <w:lang w:val="fr-FR"/>
        </w:rPr>
        <w:t>2010).</w:t>
      </w:r>
      <w:r w:rsidR="008234F8" w:rsidRPr="00C24512">
        <w:rPr>
          <w:lang w:val="fr-FR"/>
        </w:rPr>
        <w:t xml:space="preserve"> Ce n</w:t>
      </w:r>
      <w:r w:rsidR="00C24512" w:rsidRPr="00C24512">
        <w:rPr>
          <w:lang w:val="fr-FR"/>
        </w:rPr>
        <w:t>’</w:t>
      </w:r>
      <w:r w:rsidR="008234F8" w:rsidRPr="00C24512">
        <w:rPr>
          <w:lang w:val="fr-FR"/>
        </w:rPr>
        <w:t>est que lorsqu</w:t>
      </w:r>
      <w:r w:rsidR="00C24512" w:rsidRPr="00C24512">
        <w:rPr>
          <w:lang w:val="fr-FR"/>
        </w:rPr>
        <w:t>’</w:t>
      </w:r>
      <w:r w:rsidR="008234F8" w:rsidRPr="00C24512">
        <w:rPr>
          <w:lang w:val="fr-FR"/>
        </w:rPr>
        <w:t>il est satisfait à ces deux conditions que la nature subsidiaire du mécanisme de protection de la Convention s</w:t>
      </w:r>
      <w:r w:rsidR="00C24512" w:rsidRPr="00C24512">
        <w:rPr>
          <w:lang w:val="fr-FR"/>
        </w:rPr>
        <w:t>’</w:t>
      </w:r>
      <w:r w:rsidR="008234F8" w:rsidRPr="00C24512">
        <w:rPr>
          <w:lang w:val="fr-FR"/>
        </w:rPr>
        <w:t>oppose à un examen de la requête (</w:t>
      </w:r>
      <w:proofErr w:type="spellStart"/>
      <w:r w:rsidR="008234F8" w:rsidRPr="00C24512">
        <w:rPr>
          <w:i/>
          <w:lang w:val="fr-FR"/>
        </w:rPr>
        <w:t>Eckle</w:t>
      </w:r>
      <w:proofErr w:type="spellEnd"/>
      <w:r w:rsidR="008234F8" w:rsidRPr="00C24512">
        <w:rPr>
          <w:lang w:val="fr-FR"/>
        </w:rPr>
        <w:t>, précité, §§ 69 et suivants).</w:t>
      </w:r>
    </w:p>
    <w:p w:rsidR="00B7367B" w:rsidRPr="00C24512" w:rsidRDefault="00B7367B" w:rsidP="00C24512">
      <w:pPr>
        <w:pStyle w:val="ECHRPara"/>
        <w:rPr>
          <w:lang w:val="fr-FR"/>
        </w:rPr>
      </w:pPr>
      <w:r w:rsidRPr="00C24512">
        <w:rPr>
          <w:lang w:val="fr-FR"/>
        </w:rPr>
        <w:fldChar w:fldCharType="begin"/>
      </w:r>
      <w:r w:rsidRPr="00C24512">
        <w:rPr>
          <w:lang w:val="fr-FR"/>
        </w:rPr>
        <w:instrText xml:space="preserve"> SEQ level0 \*arabic </w:instrText>
      </w:r>
      <w:r w:rsidRPr="00C24512">
        <w:rPr>
          <w:lang w:val="fr-FR"/>
        </w:rPr>
        <w:fldChar w:fldCharType="separate"/>
      </w:r>
      <w:r w:rsidR="00C24512" w:rsidRPr="00C24512">
        <w:rPr>
          <w:noProof/>
          <w:lang w:val="fr-FR"/>
        </w:rPr>
        <w:t>35</w:t>
      </w:r>
      <w:r w:rsidRPr="00C24512">
        <w:rPr>
          <w:lang w:val="fr-FR"/>
        </w:rPr>
        <w:fldChar w:fldCharType="end"/>
      </w:r>
      <w:r w:rsidRPr="00C24512">
        <w:rPr>
          <w:lang w:val="fr-FR"/>
        </w:rPr>
        <w:t>.  En l</w:t>
      </w:r>
      <w:r w:rsidR="00C24512" w:rsidRPr="00C24512">
        <w:rPr>
          <w:lang w:val="fr-FR"/>
        </w:rPr>
        <w:t>’</w:t>
      </w:r>
      <w:r w:rsidRPr="00C24512">
        <w:rPr>
          <w:lang w:val="fr-FR"/>
        </w:rPr>
        <w:t>espèce</w:t>
      </w:r>
      <w:r w:rsidR="00E37DDC" w:rsidRPr="00C24512">
        <w:rPr>
          <w:lang w:val="fr-FR"/>
        </w:rPr>
        <w:t xml:space="preserve">, les instances nationales ont </w:t>
      </w:r>
      <w:r w:rsidR="003825EE" w:rsidRPr="00C24512">
        <w:rPr>
          <w:lang w:val="fr-FR"/>
        </w:rPr>
        <w:t xml:space="preserve">certes </w:t>
      </w:r>
      <w:r w:rsidR="00E37DDC" w:rsidRPr="00C24512">
        <w:rPr>
          <w:lang w:val="fr-FR"/>
        </w:rPr>
        <w:t xml:space="preserve">adopté une décision favorable </w:t>
      </w:r>
      <w:r w:rsidR="00644DFA" w:rsidRPr="00C24512">
        <w:rPr>
          <w:lang w:val="fr-FR"/>
        </w:rPr>
        <w:t>à</w:t>
      </w:r>
      <w:r w:rsidRPr="00C24512">
        <w:rPr>
          <w:lang w:val="fr-FR"/>
        </w:rPr>
        <w:t xml:space="preserve"> </w:t>
      </w:r>
      <w:r w:rsidR="00644DFA" w:rsidRPr="00C24512">
        <w:rPr>
          <w:lang w:val="fr-FR"/>
        </w:rPr>
        <w:t>la requérante</w:t>
      </w:r>
      <w:r w:rsidR="00E37DDC" w:rsidRPr="00C24512">
        <w:rPr>
          <w:lang w:val="fr-FR"/>
        </w:rPr>
        <w:t xml:space="preserve"> en lui accordant l</w:t>
      </w:r>
      <w:r w:rsidR="00C24512" w:rsidRPr="00C24512">
        <w:rPr>
          <w:lang w:val="fr-FR"/>
        </w:rPr>
        <w:t>’</w:t>
      </w:r>
      <w:r w:rsidR="00E37DDC" w:rsidRPr="00C24512">
        <w:rPr>
          <w:lang w:val="fr-FR"/>
        </w:rPr>
        <w:t>autorisation de changement de nom sollicitée. Cela étant, la Cour ne saurait ignorer que la situation litigieuse à l</w:t>
      </w:r>
      <w:r w:rsidR="00C24512" w:rsidRPr="00C24512">
        <w:rPr>
          <w:lang w:val="fr-FR"/>
        </w:rPr>
        <w:t>’</w:t>
      </w:r>
      <w:r w:rsidR="00E37DDC" w:rsidRPr="00C24512">
        <w:rPr>
          <w:lang w:val="fr-FR"/>
        </w:rPr>
        <w:t>origine de la présente requête, à savoir l</w:t>
      </w:r>
      <w:r w:rsidR="00C24512" w:rsidRPr="00C24512">
        <w:rPr>
          <w:lang w:val="fr-FR"/>
        </w:rPr>
        <w:t>’</w:t>
      </w:r>
      <w:r w:rsidR="00E37DDC" w:rsidRPr="00C24512">
        <w:rPr>
          <w:lang w:val="fr-FR"/>
        </w:rPr>
        <w:t>impossibilité pour la requérante d</w:t>
      </w:r>
      <w:r w:rsidR="00C24512" w:rsidRPr="00C24512">
        <w:rPr>
          <w:lang w:val="fr-FR"/>
        </w:rPr>
        <w:t>’</w:t>
      </w:r>
      <w:r w:rsidR="00E37DDC" w:rsidRPr="00C24512">
        <w:rPr>
          <w:lang w:val="fr-FR"/>
        </w:rPr>
        <w:t xml:space="preserve">obtenir le changement de nom en raison du refus des instances judiciaires, a perduré pendant plus de deux ans et demi. </w:t>
      </w:r>
      <w:r w:rsidRPr="00C24512">
        <w:rPr>
          <w:lang w:val="fr-FR"/>
        </w:rPr>
        <w:t xml:space="preserve">La Cour estime que </w:t>
      </w:r>
      <w:r w:rsidR="00E37DDC" w:rsidRPr="00C24512">
        <w:rPr>
          <w:lang w:val="fr-FR"/>
        </w:rPr>
        <w:t xml:space="preserve">la requérante a directement subi les effets de ce refus dans sa vie privée durant cette période (voir </w:t>
      </w:r>
      <w:r w:rsidRPr="00C24512">
        <w:rPr>
          <w:i/>
          <w:lang w:val="fr-FR"/>
        </w:rPr>
        <w:t>Y.Y. c. Turquie</w:t>
      </w:r>
      <w:r w:rsidRPr="00C24512">
        <w:rPr>
          <w:lang w:val="fr-FR"/>
        </w:rPr>
        <w:t>, n</w:t>
      </w:r>
      <w:r w:rsidRPr="00C24512">
        <w:rPr>
          <w:vertAlign w:val="superscript"/>
          <w:lang w:val="fr-FR"/>
        </w:rPr>
        <w:t>o</w:t>
      </w:r>
      <w:r w:rsidRPr="00C24512">
        <w:rPr>
          <w:lang w:val="fr-FR"/>
        </w:rPr>
        <w:t xml:space="preserve"> 14793/08, </w:t>
      </w:r>
      <w:r w:rsidRPr="00C24512">
        <w:rPr>
          <w:rFonts w:ascii="Times New Roman" w:hAnsi="Times New Roman" w:cs="Times New Roman"/>
          <w:lang w:val="fr-FR"/>
        </w:rPr>
        <w:t>§</w:t>
      </w:r>
      <w:r w:rsidRPr="00C24512">
        <w:rPr>
          <w:lang w:val="fr-FR"/>
        </w:rPr>
        <w:t> 53, CEDH 2015 (extraits)</w:t>
      </w:r>
      <w:r w:rsidR="00E37DDC" w:rsidRPr="00C24512">
        <w:rPr>
          <w:lang w:val="fr-FR"/>
        </w:rPr>
        <w:t xml:space="preserve">. </w:t>
      </w:r>
      <w:r w:rsidRPr="00C24512">
        <w:rPr>
          <w:lang w:val="fr-FR"/>
        </w:rPr>
        <w:t xml:space="preserve">Par ailleurs, </w:t>
      </w:r>
      <w:r w:rsidR="00A05D50" w:rsidRPr="00C24512">
        <w:rPr>
          <w:lang w:val="fr-FR"/>
        </w:rPr>
        <w:t>ni le jugement du 10 octobre 2003, ni les autres décisions internes concernant l</w:t>
      </w:r>
      <w:r w:rsidR="00C24512" w:rsidRPr="00C24512">
        <w:rPr>
          <w:lang w:val="fr-FR"/>
        </w:rPr>
        <w:t>’</w:t>
      </w:r>
      <w:r w:rsidR="00A05D50" w:rsidRPr="00C24512">
        <w:rPr>
          <w:lang w:val="fr-FR"/>
        </w:rPr>
        <w:t>affaire de la requérante, ne contiennent une reconnaissance expresse d</w:t>
      </w:r>
      <w:r w:rsidR="00C24512" w:rsidRPr="00C24512">
        <w:rPr>
          <w:lang w:val="fr-FR"/>
        </w:rPr>
        <w:t>’</w:t>
      </w:r>
      <w:r w:rsidR="00A05D50" w:rsidRPr="00C24512">
        <w:rPr>
          <w:lang w:val="fr-FR"/>
        </w:rPr>
        <w:t xml:space="preserve">une violation de droits protégés par la Convention. </w:t>
      </w:r>
      <w:r w:rsidR="003825EE" w:rsidRPr="00C24512">
        <w:rPr>
          <w:lang w:val="fr-FR"/>
        </w:rPr>
        <w:t>Aussi</w:t>
      </w:r>
      <w:r w:rsidR="00A05D50" w:rsidRPr="00C24512">
        <w:rPr>
          <w:lang w:val="fr-FR"/>
        </w:rPr>
        <w:t>, l</w:t>
      </w:r>
      <w:r w:rsidR="00C24512" w:rsidRPr="00C24512">
        <w:rPr>
          <w:lang w:val="fr-FR"/>
        </w:rPr>
        <w:t>’</w:t>
      </w:r>
      <w:r w:rsidR="00A05D50" w:rsidRPr="00C24512">
        <w:rPr>
          <w:lang w:val="fr-FR"/>
        </w:rPr>
        <w:t>autorisation accordée à la requérante ne saurait non plus être interprétée comme une reconnaissance, en substance, d</w:t>
      </w:r>
      <w:r w:rsidR="00C24512" w:rsidRPr="00C24512">
        <w:rPr>
          <w:lang w:val="fr-FR"/>
        </w:rPr>
        <w:t>’</w:t>
      </w:r>
      <w:r w:rsidR="00A05D50" w:rsidRPr="00C24512">
        <w:rPr>
          <w:lang w:val="fr-FR"/>
        </w:rPr>
        <w:t>une violation de son droit au respect de la vie privée (</w:t>
      </w:r>
      <w:r w:rsidR="00A05D50" w:rsidRPr="00C24512">
        <w:rPr>
          <w:i/>
          <w:lang w:val="fr-FR"/>
        </w:rPr>
        <w:t>ibidem</w:t>
      </w:r>
      <w:r w:rsidR="00A05D50" w:rsidRPr="00C24512">
        <w:rPr>
          <w:lang w:val="fr-FR"/>
        </w:rPr>
        <w:t>, § 53).</w:t>
      </w:r>
    </w:p>
    <w:p w:rsidR="00E82501" w:rsidRPr="00C24512" w:rsidRDefault="00500738" w:rsidP="00C24512">
      <w:pPr>
        <w:pStyle w:val="ECHRPara"/>
        <w:rPr>
          <w:lang w:val="fr-FR"/>
        </w:rPr>
      </w:pPr>
      <w:r w:rsidRPr="00C24512">
        <w:rPr>
          <w:lang w:val="fr-FR"/>
        </w:rPr>
        <w:lastRenderedPageBreak/>
        <w:fldChar w:fldCharType="begin"/>
      </w:r>
      <w:r w:rsidRPr="00C24512">
        <w:rPr>
          <w:lang w:val="fr-FR"/>
        </w:rPr>
        <w:instrText xml:space="preserve"> SEQ level0 \*arabic </w:instrText>
      </w:r>
      <w:r w:rsidRPr="00C24512">
        <w:rPr>
          <w:lang w:val="fr-FR"/>
        </w:rPr>
        <w:fldChar w:fldCharType="separate"/>
      </w:r>
      <w:r w:rsidR="00C24512" w:rsidRPr="00C24512">
        <w:rPr>
          <w:noProof/>
          <w:lang w:val="fr-FR"/>
        </w:rPr>
        <w:t>36</w:t>
      </w:r>
      <w:r w:rsidRPr="00C24512">
        <w:rPr>
          <w:lang w:val="fr-FR"/>
        </w:rPr>
        <w:fldChar w:fldCharType="end"/>
      </w:r>
      <w:r w:rsidRPr="00C24512">
        <w:rPr>
          <w:lang w:val="fr-FR"/>
        </w:rPr>
        <w:t>.  </w:t>
      </w:r>
      <w:r w:rsidR="00E37DDC" w:rsidRPr="00C24512">
        <w:rPr>
          <w:lang w:val="fr-FR"/>
        </w:rPr>
        <w:t xml:space="preserve">Il convient dès lors de conclure que la requérante </w:t>
      </w:r>
      <w:r w:rsidR="00644DFA" w:rsidRPr="00C24512">
        <w:rPr>
          <w:lang w:val="fr-FR"/>
        </w:rPr>
        <w:t>peut se prétendre</w:t>
      </w:r>
      <w:r w:rsidR="00E37DDC" w:rsidRPr="00C24512">
        <w:rPr>
          <w:lang w:val="fr-FR"/>
        </w:rPr>
        <w:t xml:space="preserve"> « victime » au sens de l</w:t>
      </w:r>
      <w:r w:rsidR="00C24512" w:rsidRPr="00C24512">
        <w:rPr>
          <w:lang w:val="fr-FR"/>
        </w:rPr>
        <w:t>’</w:t>
      </w:r>
      <w:r w:rsidR="00E37DDC" w:rsidRPr="00C24512">
        <w:rPr>
          <w:lang w:val="fr-FR"/>
        </w:rPr>
        <w:t>article 34 de la Convention.</w:t>
      </w:r>
    </w:p>
    <w:p w:rsidR="00E82501" w:rsidRPr="00C24512" w:rsidRDefault="00E82501" w:rsidP="00C24512">
      <w:pPr>
        <w:pStyle w:val="ECHRHeading3"/>
        <w:rPr>
          <w:lang w:val="fr-FR"/>
        </w:rPr>
      </w:pPr>
      <w:r w:rsidRPr="00C24512">
        <w:rPr>
          <w:lang w:val="fr-FR"/>
        </w:rPr>
        <w:t>2.  Sur l</w:t>
      </w:r>
      <w:r w:rsidR="00C24512" w:rsidRPr="00C24512">
        <w:rPr>
          <w:lang w:val="fr-FR"/>
        </w:rPr>
        <w:t>’</w:t>
      </w:r>
      <w:r w:rsidRPr="00C24512">
        <w:rPr>
          <w:lang w:val="fr-FR"/>
        </w:rPr>
        <w:t>épuisement des voies de recours internes</w:t>
      </w:r>
    </w:p>
    <w:p w:rsidR="005B5811" w:rsidRPr="00C24512" w:rsidRDefault="005B5811" w:rsidP="00C24512">
      <w:pPr>
        <w:pStyle w:val="ECHRPara"/>
        <w:rPr>
          <w:lang w:val="fr-FR"/>
        </w:rPr>
      </w:pPr>
      <w:r w:rsidRPr="00C24512">
        <w:rPr>
          <w:lang w:val="fr-FR"/>
        </w:rPr>
        <w:fldChar w:fldCharType="begin"/>
      </w:r>
      <w:r w:rsidRPr="00C24512">
        <w:rPr>
          <w:lang w:val="fr-FR"/>
        </w:rPr>
        <w:instrText xml:space="preserve"> SEQ level0 \*arabic </w:instrText>
      </w:r>
      <w:r w:rsidRPr="00C24512">
        <w:rPr>
          <w:lang w:val="fr-FR"/>
        </w:rPr>
        <w:fldChar w:fldCharType="separate"/>
      </w:r>
      <w:r w:rsidR="00C24512" w:rsidRPr="00C24512">
        <w:rPr>
          <w:noProof/>
          <w:lang w:val="fr-FR"/>
        </w:rPr>
        <w:t>37</w:t>
      </w:r>
      <w:r w:rsidRPr="00C24512">
        <w:rPr>
          <w:lang w:val="fr-FR"/>
        </w:rPr>
        <w:fldChar w:fldCharType="end"/>
      </w:r>
      <w:r w:rsidRPr="00C24512">
        <w:rPr>
          <w:lang w:val="fr-FR"/>
        </w:rPr>
        <w:t>.  Le Gouvernement soulève une exception de non-épuisement des voies de recours internes au motif que la requérante n</w:t>
      </w:r>
      <w:r w:rsidR="00C24512" w:rsidRPr="00C24512">
        <w:rPr>
          <w:lang w:val="fr-FR"/>
        </w:rPr>
        <w:t>’</w:t>
      </w:r>
      <w:r w:rsidRPr="00C24512">
        <w:rPr>
          <w:lang w:val="fr-FR"/>
        </w:rPr>
        <w:t>a pas attaqué le jugement du TAR devant le Conseil d</w:t>
      </w:r>
      <w:r w:rsidR="00C24512" w:rsidRPr="00C24512">
        <w:rPr>
          <w:lang w:val="fr-FR"/>
        </w:rPr>
        <w:t>’</w:t>
      </w:r>
      <w:r w:rsidR="007B6DB1" w:rsidRPr="00C24512">
        <w:rPr>
          <w:lang w:val="fr-FR"/>
        </w:rPr>
        <w:t>État</w:t>
      </w:r>
      <w:r w:rsidRPr="00C24512">
        <w:rPr>
          <w:lang w:val="fr-FR"/>
        </w:rPr>
        <w:t xml:space="preserve">. Il </w:t>
      </w:r>
      <w:r w:rsidR="007B6DB1" w:rsidRPr="00C24512">
        <w:rPr>
          <w:lang w:val="fr-FR"/>
        </w:rPr>
        <w:t xml:space="preserve">soutient </w:t>
      </w:r>
      <w:r w:rsidRPr="00C24512">
        <w:rPr>
          <w:lang w:val="fr-FR"/>
        </w:rPr>
        <w:t>que la haute juridiction administrative aurait pu accueillir les arguments de la requérante et annuler ainsi la décision du préfet.</w:t>
      </w:r>
    </w:p>
    <w:p w:rsidR="005B5811" w:rsidRPr="00C24512" w:rsidRDefault="005B5811" w:rsidP="00C24512">
      <w:pPr>
        <w:pStyle w:val="ECHRPara"/>
        <w:rPr>
          <w:lang w:val="fr-FR"/>
        </w:rPr>
      </w:pPr>
      <w:r w:rsidRPr="00C24512">
        <w:rPr>
          <w:lang w:val="fr-FR"/>
        </w:rPr>
        <w:fldChar w:fldCharType="begin"/>
      </w:r>
      <w:r w:rsidRPr="00C24512">
        <w:rPr>
          <w:lang w:val="fr-FR"/>
        </w:rPr>
        <w:instrText xml:space="preserve"> SEQ level0 \*arabic </w:instrText>
      </w:r>
      <w:r w:rsidRPr="00C24512">
        <w:rPr>
          <w:lang w:val="fr-FR"/>
        </w:rPr>
        <w:fldChar w:fldCharType="separate"/>
      </w:r>
      <w:r w:rsidR="00C24512" w:rsidRPr="00C24512">
        <w:rPr>
          <w:noProof/>
          <w:lang w:val="fr-FR"/>
        </w:rPr>
        <w:t>38</w:t>
      </w:r>
      <w:r w:rsidRPr="00C24512">
        <w:rPr>
          <w:lang w:val="fr-FR"/>
        </w:rPr>
        <w:fldChar w:fldCharType="end"/>
      </w:r>
      <w:r w:rsidRPr="00C24512">
        <w:rPr>
          <w:lang w:val="fr-FR"/>
        </w:rPr>
        <w:t xml:space="preserve">.  La requérante </w:t>
      </w:r>
      <w:r w:rsidR="007B6DB1" w:rsidRPr="00C24512">
        <w:rPr>
          <w:lang w:val="fr-FR"/>
        </w:rPr>
        <w:t>réplique</w:t>
      </w:r>
      <w:r w:rsidRPr="00C24512">
        <w:rPr>
          <w:lang w:val="fr-FR"/>
        </w:rPr>
        <w:t xml:space="preserve"> qu</w:t>
      </w:r>
      <w:r w:rsidR="00C24512" w:rsidRPr="00C24512">
        <w:rPr>
          <w:lang w:val="fr-FR"/>
        </w:rPr>
        <w:t>’</w:t>
      </w:r>
      <w:r w:rsidRPr="00C24512">
        <w:rPr>
          <w:lang w:val="fr-FR"/>
        </w:rPr>
        <w:t>un appel devant le Conseil d</w:t>
      </w:r>
      <w:r w:rsidR="00C24512" w:rsidRPr="00C24512">
        <w:rPr>
          <w:lang w:val="fr-FR"/>
        </w:rPr>
        <w:t>’</w:t>
      </w:r>
      <w:r w:rsidR="007B6DB1" w:rsidRPr="00C24512">
        <w:rPr>
          <w:lang w:val="fr-FR"/>
        </w:rPr>
        <w:t>État</w:t>
      </w:r>
      <w:r w:rsidRPr="00C24512">
        <w:rPr>
          <w:lang w:val="fr-FR"/>
        </w:rPr>
        <w:t xml:space="preserve"> n</w:t>
      </w:r>
      <w:r w:rsidR="00C24512" w:rsidRPr="00C24512">
        <w:rPr>
          <w:lang w:val="fr-FR"/>
        </w:rPr>
        <w:t>’</w:t>
      </w:r>
      <w:r w:rsidRPr="00C24512">
        <w:rPr>
          <w:lang w:val="fr-FR"/>
        </w:rPr>
        <w:t xml:space="preserve">aurait eu aucune chance de succès, compte tenu du droit positif en vigueur en </w:t>
      </w:r>
      <w:r w:rsidR="00B04B35" w:rsidRPr="00C24512">
        <w:rPr>
          <w:lang w:val="fr-FR"/>
        </w:rPr>
        <w:t>Italie,</w:t>
      </w:r>
      <w:r w:rsidRPr="00C24512">
        <w:rPr>
          <w:lang w:val="fr-FR"/>
        </w:rPr>
        <w:t xml:space="preserve"> empêchant toute modification du prénom avant la </w:t>
      </w:r>
      <w:r w:rsidR="0087624D" w:rsidRPr="00C24512">
        <w:rPr>
          <w:lang w:val="fr-FR"/>
        </w:rPr>
        <w:t>rectification de l</w:t>
      </w:r>
      <w:r w:rsidR="00C24512" w:rsidRPr="00C24512">
        <w:rPr>
          <w:lang w:val="fr-FR"/>
        </w:rPr>
        <w:t>’</w:t>
      </w:r>
      <w:r w:rsidR="0087624D" w:rsidRPr="00C24512">
        <w:rPr>
          <w:lang w:val="fr-FR"/>
        </w:rPr>
        <w:t xml:space="preserve">attribution du </w:t>
      </w:r>
      <w:r w:rsidR="00482E13" w:rsidRPr="00C24512">
        <w:rPr>
          <w:lang w:val="fr-FR"/>
        </w:rPr>
        <w:t>sexe</w:t>
      </w:r>
      <w:r w:rsidRPr="00C24512">
        <w:rPr>
          <w:lang w:val="fr-FR"/>
        </w:rPr>
        <w:t xml:space="preserve"> décidée par un juge</w:t>
      </w:r>
      <w:r w:rsidRPr="00C24512">
        <w:rPr>
          <w:i/>
          <w:lang w:val="fr-FR"/>
        </w:rPr>
        <w:t xml:space="preserve">. </w:t>
      </w:r>
      <w:r w:rsidR="005B3A78" w:rsidRPr="00C24512">
        <w:rPr>
          <w:lang w:val="fr-FR"/>
        </w:rPr>
        <w:t xml:space="preserve">Elle </w:t>
      </w:r>
      <w:r w:rsidR="009B2CC0" w:rsidRPr="00C24512">
        <w:rPr>
          <w:lang w:val="fr-FR"/>
        </w:rPr>
        <w:t>indique</w:t>
      </w:r>
      <w:r w:rsidR="005B3A78" w:rsidRPr="00C24512">
        <w:rPr>
          <w:lang w:val="fr-FR"/>
        </w:rPr>
        <w:t xml:space="preserve"> que</w:t>
      </w:r>
      <w:r w:rsidR="00B04B35" w:rsidRPr="00C24512">
        <w:rPr>
          <w:lang w:val="fr-FR"/>
        </w:rPr>
        <w:t xml:space="preserve">, </w:t>
      </w:r>
      <w:r w:rsidRPr="00C24512">
        <w:rPr>
          <w:lang w:val="fr-FR"/>
        </w:rPr>
        <w:t>depuis l</w:t>
      </w:r>
      <w:r w:rsidR="00C24512" w:rsidRPr="00C24512">
        <w:rPr>
          <w:lang w:val="fr-FR"/>
        </w:rPr>
        <w:t>’</w:t>
      </w:r>
      <w:r w:rsidRPr="00C24512">
        <w:rPr>
          <w:lang w:val="fr-FR"/>
        </w:rPr>
        <w:t xml:space="preserve">entrée en vigueur du </w:t>
      </w:r>
      <w:r w:rsidR="007B6DB1" w:rsidRPr="00C24512">
        <w:rPr>
          <w:lang w:val="fr-FR"/>
        </w:rPr>
        <w:t>DPR</w:t>
      </w:r>
      <w:r w:rsidRPr="00C24512">
        <w:rPr>
          <w:lang w:val="fr-FR"/>
        </w:rPr>
        <w:t xml:space="preserve"> n</w:t>
      </w:r>
      <w:r w:rsidRPr="00C24512">
        <w:rPr>
          <w:vertAlign w:val="superscript"/>
          <w:lang w:val="fr-FR"/>
        </w:rPr>
        <w:t>o</w:t>
      </w:r>
      <w:r w:rsidR="00B04B35" w:rsidRPr="00C24512">
        <w:rPr>
          <w:lang w:val="fr-FR"/>
        </w:rPr>
        <w:t> </w:t>
      </w:r>
      <w:r w:rsidRPr="00C24512">
        <w:rPr>
          <w:lang w:val="fr-FR"/>
        </w:rPr>
        <w:t>396 de 2000</w:t>
      </w:r>
      <w:r w:rsidR="00B04B35" w:rsidRPr="00C24512">
        <w:rPr>
          <w:lang w:val="fr-FR"/>
        </w:rPr>
        <w:t xml:space="preserve">, </w:t>
      </w:r>
      <w:r w:rsidR="000D15AE" w:rsidRPr="00C24512">
        <w:rPr>
          <w:lang w:val="fr-FR"/>
        </w:rPr>
        <w:t>soit depuis l</w:t>
      </w:r>
      <w:r w:rsidR="0087624D" w:rsidRPr="00C24512">
        <w:rPr>
          <w:lang w:val="fr-FR"/>
        </w:rPr>
        <w:t xml:space="preserve">a dévolution </w:t>
      </w:r>
      <w:r w:rsidR="000D15AE" w:rsidRPr="00C24512">
        <w:rPr>
          <w:lang w:val="fr-FR"/>
        </w:rPr>
        <w:t>au préfet de</w:t>
      </w:r>
      <w:r w:rsidRPr="00C24512">
        <w:rPr>
          <w:lang w:val="fr-FR"/>
        </w:rPr>
        <w:t xml:space="preserve"> la compétence déci</w:t>
      </w:r>
      <w:r w:rsidR="005F0123" w:rsidRPr="00C24512">
        <w:rPr>
          <w:lang w:val="fr-FR"/>
        </w:rPr>
        <w:t>sionnelle en matière de</w:t>
      </w:r>
      <w:r w:rsidRPr="00C24512">
        <w:rPr>
          <w:lang w:val="fr-FR"/>
        </w:rPr>
        <w:t xml:space="preserve"> demandes de changement de prénom, aucune demande introduite par une personne transgenre pendant la période de transition sexuelle n</w:t>
      </w:r>
      <w:r w:rsidR="00C24512" w:rsidRPr="00C24512">
        <w:rPr>
          <w:lang w:val="fr-FR"/>
        </w:rPr>
        <w:t>’</w:t>
      </w:r>
      <w:r w:rsidRPr="00C24512">
        <w:rPr>
          <w:lang w:val="fr-FR"/>
        </w:rPr>
        <w:t>a été accueillie,</w:t>
      </w:r>
      <w:r w:rsidR="00854409" w:rsidRPr="00C24512">
        <w:rPr>
          <w:lang w:val="fr-FR"/>
        </w:rPr>
        <w:t xml:space="preserve"> </w:t>
      </w:r>
      <w:r w:rsidR="00700D8B" w:rsidRPr="00C24512">
        <w:rPr>
          <w:lang w:val="fr-FR"/>
        </w:rPr>
        <w:t>ce</w:t>
      </w:r>
      <w:r w:rsidR="00854409" w:rsidRPr="00C24512">
        <w:rPr>
          <w:lang w:val="fr-FR"/>
        </w:rPr>
        <w:t xml:space="preserve"> qui</w:t>
      </w:r>
      <w:r w:rsidR="005B3A78" w:rsidRPr="00C24512">
        <w:rPr>
          <w:lang w:val="fr-FR"/>
        </w:rPr>
        <w:t xml:space="preserve">, à ses dires, </w:t>
      </w:r>
      <w:r w:rsidR="00854409" w:rsidRPr="00C24512">
        <w:rPr>
          <w:lang w:val="fr-FR"/>
        </w:rPr>
        <w:t>n</w:t>
      </w:r>
      <w:r w:rsidR="00C24512" w:rsidRPr="00C24512">
        <w:rPr>
          <w:lang w:val="fr-FR"/>
        </w:rPr>
        <w:t>’</w:t>
      </w:r>
      <w:r w:rsidR="00854409" w:rsidRPr="00C24512">
        <w:rPr>
          <w:lang w:val="fr-FR"/>
        </w:rPr>
        <w:t xml:space="preserve">était pas le cas </w:t>
      </w:r>
      <w:r w:rsidR="00D07D1B" w:rsidRPr="00C24512">
        <w:rPr>
          <w:lang w:val="fr-FR"/>
        </w:rPr>
        <w:t>sous l</w:t>
      </w:r>
      <w:r w:rsidR="00C24512" w:rsidRPr="00C24512">
        <w:rPr>
          <w:lang w:val="fr-FR"/>
        </w:rPr>
        <w:t>’</w:t>
      </w:r>
      <w:r w:rsidR="00D07D1B" w:rsidRPr="00C24512">
        <w:rPr>
          <w:lang w:val="fr-FR"/>
        </w:rPr>
        <w:t>empire de</w:t>
      </w:r>
      <w:r w:rsidRPr="00C24512">
        <w:rPr>
          <w:lang w:val="fr-FR"/>
        </w:rPr>
        <w:t xml:space="preserve"> l</w:t>
      </w:r>
      <w:r w:rsidR="00C24512" w:rsidRPr="00C24512">
        <w:rPr>
          <w:lang w:val="fr-FR"/>
        </w:rPr>
        <w:t>’</w:t>
      </w:r>
      <w:r w:rsidR="00D07D1B" w:rsidRPr="00C24512">
        <w:rPr>
          <w:lang w:val="fr-FR"/>
        </w:rPr>
        <w:t>ancienne</w:t>
      </w:r>
      <w:r w:rsidRPr="00C24512">
        <w:rPr>
          <w:lang w:val="fr-FR"/>
        </w:rPr>
        <w:t xml:space="preserve"> pratique</w:t>
      </w:r>
      <w:r w:rsidR="000D15AE" w:rsidRPr="00C24512">
        <w:rPr>
          <w:lang w:val="fr-FR"/>
        </w:rPr>
        <w:t xml:space="preserve">, </w:t>
      </w:r>
      <w:r w:rsidRPr="00C24512">
        <w:rPr>
          <w:lang w:val="fr-FR"/>
        </w:rPr>
        <w:t>lorsque</w:t>
      </w:r>
      <w:r w:rsidR="005B3A78" w:rsidRPr="00C24512">
        <w:rPr>
          <w:lang w:val="fr-FR"/>
        </w:rPr>
        <w:t xml:space="preserve"> cette</w:t>
      </w:r>
      <w:r w:rsidRPr="00C24512">
        <w:rPr>
          <w:lang w:val="fr-FR"/>
        </w:rPr>
        <w:t xml:space="preserve"> compétence revenait au </w:t>
      </w:r>
      <w:r w:rsidR="00700D8B" w:rsidRPr="00C24512">
        <w:rPr>
          <w:lang w:val="fr-FR"/>
        </w:rPr>
        <w:t>p</w:t>
      </w:r>
      <w:r w:rsidRPr="00C24512">
        <w:rPr>
          <w:lang w:val="fr-FR"/>
        </w:rPr>
        <w:t>rocureur de la République.</w:t>
      </w:r>
      <w:r w:rsidR="00E61AE4" w:rsidRPr="00C24512">
        <w:rPr>
          <w:lang w:val="fr-FR"/>
        </w:rPr>
        <w:t xml:space="preserve"> </w:t>
      </w:r>
      <w:r w:rsidR="003C2EBE" w:rsidRPr="00C24512">
        <w:rPr>
          <w:lang w:val="fr-FR"/>
        </w:rPr>
        <w:t>Dans sa requête, e</w:t>
      </w:r>
      <w:r w:rsidR="00DD0E03" w:rsidRPr="00C24512">
        <w:rPr>
          <w:lang w:val="fr-FR"/>
        </w:rPr>
        <w:t xml:space="preserve">lle en veut pour preuve une décision datée du 12 avril 1999 rendue dans une affaire </w:t>
      </w:r>
      <w:r w:rsidR="007739C9" w:rsidRPr="00C24512">
        <w:rPr>
          <w:lang w:val="fr-FR"/>
        </w:rPr>
        <w:t>selon elle</w:t>
      </w:r>
      <w:r w:rsidR="009B2CC0" w:rsidRPr="00C24512">
        <w:rPr>
          <w:lang w:val="fr-FR"/>
        </w:rPr>
        <w:t xml:space="preserve"> </w:t>
      </w:r>
      <w:r w:rsidR="003C2EBE" w:rsidRPr="00C24512">
        <w:rPr>
          <w:lang w:val="fr-FR"/>
        </w:rPr>
        <w:t xml:space="preserve">similaire à la sienne. </w:t>
      </w:r>
      <w:r w:rsidR="00591BDB" w:rsidRPr="00C24512">
        <w:rPr>
          <w:lang w:val="fr-FR"/>
        </w:rPr>
        <w:t>La requérante indique de</w:t>
      </w:r>
      <w:r w:rsidRPr="00C24512">
        <w:rPr>
          <w:lang w:val="fr-FR"/>
        </w:rPr>
        <w:t xml:space="preserve"> surcroît</w:t>
      </w:r>
      <w:r w:rsidR="00591BDB" w:rsidRPr="00C24512">
        <w:rPr>
          <w:lang w:val="fr-FR"/>
        </w:rPr>
        <w:t xml:space="preserve"> que </w:t>
      </w:r>
      <w:r w:rsidRPr="00C24512">
        <w:rPr>
          <w:lang w:val="fr-FR"/>
        </w:rPr>
        <w:t>le Gouvernement n</w:t>
      </w:r>
      <w:r w:rsidR="00C24512" w:rsidRPr="00C24512">
        <w:rPr>
          <w:lang w:val="fr-FR"/>
        </w:rPr>
        <w:t>’</w:t>
      </w:r>
      <w:r w:rsidRPr="00C24512">
        <w:rPr>
          <w:lang w:val="fr-FR"/>
        </w:rPr>
        <w:t>a pas prouvé qu</w:t>
      </w:r>
      <w:r w:rsidR="00C24512" w:rsidRPr="00C24512">
        <w:rPr>
          <w:lang w:val="fr-FR"/>
        </w:rPr>
        <w:t>’</w:t>
      </w:r>
      <w:r w:rsidRPr="00C24512">
        <w:rPr>
          <w:lang w:val="fr-FR"/>
        </w:rPr>
        <w:t>un appel devant le Conseil d</w:t>
      </w:r>
      <w:r w:rsidR="00C24512" w:rsidRPr="00C24512">
        <w:rPr>
          <w:lang w:val="fr-FR"/>
        </w:rPr>
        <w:t>’</w:t>
      </w:r>
      <w:r w:rsidR="00591BDB" w:rsidRPr="00C24512">
        <w:rPr>
          <w:lang w:val="fr-FR"/>
        </w:rPr>
        <w:t>État</w:t>
      </w:r>
      <w:r w:rsidRPr="00C24512">
        <w:rPr>
          <w:lang w:val="fr-FR"/>
        </w:rPr>
        <w:t xml:space="preserve"> aurait </w:t>
      </w:r>
      <w:r w:rsidR="00591BDB" w:rsidRPr="00C24512">
        <w:rPr>
          <w:lang w:val="fr-FR"/>
        </w:rPr>
        <w:t>abouti à</w:t>
      </w:r>
      <w:r w:rsidRPr="00C24512">
        <w:rPr>
          <w:lang w:val="fr-FR"/>
        </w:rPr>
        <w:t xml:space="preserve"> une décision favorable et aurait donc constitué un remède à </w:t>
      </w:r>
      <w:r w:rsidR="00591BDB" w:rsidRPr="00C24512">
        <w:rPr>
          <w:lang w:val="fr-FR"/>
        </w:rPr>
        <w:t>exercer</w:t>
      </w:r>
      <w:r w:rsidRPr="00C24512">
        <w:rPr>
          <w:lang w:val="fr-FR"/>
        </w:rPr>
        <w:t>.</w:t>
      </w:r>
    </w:p>
    <w:p w:rsidR="005B5811" w:rsidRPr="00C24512" w:rsidRDefault="005B5811" w:rsidP="00C24512">
      <w:pPr>
        <w:pStyle w:val="ECHRPara"/>
        <w:rPr>
          <w:i/>
          <w:lang w:val="fr-FR"/>
        </w:rPr>
      </w:pPr>
      <w:r w:rsidRPr="00C24512">
        <w:rPr>
          <w:lang w:val="fr-FR"/>
        </w:rPr>
        <w:fldChar w:fldCharType="begin"/>
      </w:r>
      <w:r w:rsidRPr="00C24512">
        <w:rPr>
          <w:lang w:val="fr-FR"/>
        </w:rPr>
        <w:instrText xml:space="preserve"> SEQ level0 \*arabic </w:instrText>
      </w:r>
      <w:r w:rsidRPr="00C24512">
        <w:rPr>
          <w:lang w:val="fr-FR"/>
        </w:rPr>
        <w:fldChar w:fldCharType="separate"/>
      </w:r>
      <w:r w:rsidR="00C24512" w:rsidRPr="00C24512">
        <w:rPr>
          <w:noProof/>
          <w:lang w:val="fr-FR"/>
        </w:rPr>
        <w:t>39</w:t>
      </w:r>
      <w:r w:rsidRPr="00C24512">
        <w:rPr>
          <w:lang w:val="fr-FR"/>
        </w:rPr>
        <w:fldChar w:fldCharType="end"/>
      </w:r>
      <w:r w:rsidRPr="00C24512">
        <w:rPr>
          <w:lang w:val="fr-FR"/>
        </w:rPr>
        <w:t>.  La Cour rappelle que l</w:t>
      </w:r>
      <w:r w:rsidR="00C24512" w:rsidRPr="00C24512">
        <w:rPr>
          <w:lang w:val="fr-FR"/>
        </w:rPr>
        <w:t>’</w:t>
      </w:r>
      <w:r w:rsidRPr="00C24512">
        <w:rPr>
          <w:lang w:val="fr-FR"/>
        </w:rPr>
        <w:t>obligation d</w:t>
      </w:r>
      <w:r w:rsidR="00C24512" w:rsidRPr="00C24512">
        <w:rPr>
          <w:lang w:val="fr-FR"/>
        </w:rPr>
        <w:t>’</w:t>
      </w:r>
      <w:r w:rsidRPr="00C24512">
        <w:rPr>
          <w:lang w:val="fr-FR"/>
        </w:rPr>
        <w:t>épuiser les recours internes impose aux requérants de faire un usage normal des recours disponibles et suffisants pour leur permettre d</w:t>
      </w:r>
      <w:r w:rsidR="00C24512" w:rsidRPr="00C24512">
        <w:rPr>
          <w:lang w:val="fr-FR"/>
        </w:rPr>
        <w:t>’</w:t>
      </w:r>
      <w:r w:rsidRPr="00C24512">
        <w:rPr>
          <w:lang w:val="fr-FR"/>
        </w:rPr>
        <w:t>obtenir réparation des violations qu</w:t>
      </w:r>
      <w:r w:rsidR="00C24512" w:rsidRPr="00C24512">
        <w:rPr>
          <w:lang w:val="fr-FR"/>
        </w:rPr>
        <w:t>’</w:t>
      </w:r>
      <w:r w:rsidRPr="00C24512">
        <w:rPr>
          <w:lang w:val="fr-FR"/>
        </w:rPr>
        <w:t>ils allèguent. Ces recours doivent exister à un degré suffisant de certitude, en pratique comme en théorie, sans quoi leur manquent l</w:t>
      </w:r>
      <w:r w:rsidR="00C24512" w:rsidRPr="00C24512">
        <w:rPr>
          <w:lang w:val="fr-FR"/>
        </w:rPr>
        <w:t>’</w:t>
      </w:r>
      <w:r w:rsidRPr="00C24512">
        <w:rPr>
          <w:lang w:val="fr-FR"/>
        </w:rPr>
        <w:t>effectivité et l</w:t>
      </w:r>
      <w:r w:rsidR="00C24512" w:rsidRPr="00C24512">
        <w:rPr>
          <w:lang w:val="fr-FR"/>
        </w:rPr>
        <w:t>’</w:t>
      </w:r>
      <w:r w:rsidRPr="00C24512">
        <w:rPr>
          <w:lang w:val="fr-FR"/>
        </w:rPr>
        <w:t>accessibilité voulues (</w:t>
      </w:r>
      <w:proofErr w:type="spellStart"/>
      <w:r w:rsidR="008C6ED5" w:rsidRPr="00C24512">
        <w:rPr>
          <w:i/>
          <w:lang w:val="fr-FR"/>
        </w:rPr>
        <w:t>Akdivar</w:t>
      </w:r>
      <w:proofErr w:type="spellEnd"/>
      <w:r w:rsidR="008C6ED5" w:rsidRPr="00C24512">
        <w:rPr>
          <w:i/>
          <w:lang w:val="fr-FR"/>
        </w:rPr>
        <w:t xml:space="preserve"> et autres c. Turquie</w:t>
      </w:r>
      <w:r w:rsidR="008C6ED5" w:rsidRPr="00C24512">
        <w:rPr>
          <w:lang w:val="fr-FR"/>
        </w:rPr>
        <w:t xml:space="preserve">, 16 septembre 1996, § 66, </w:t>
      </w:r>
      <w:r w:rsidR="008C6ED5" w:rsidRPr="00C24512">
        <w:rPr>
          <w:i/>
          <w:lang w:val="fr-FR"/>
        </w:rPr>
        <w:t>Recueil des arrêts et décisions</w:t>
      </w:r>
      <w:r w:rsidR="008C6ED5" w:rsidRPr="00C24512">
        <w:rPr>
          <w:lang w:val="fr-FR"/>
        </w:rPr>
        <w:t xml:space="preserve"> 1996</w:t>
      </w:r>
      <w:r w:rsidR="008C6ED5" w:rsidRPr="00C24512">
        <w:rPr>
          <w:lang w:val="fr-FR"/>
        </w:rPr>
        <w:noBreakHyphen/>
        <w:t>IV</w:t>
      </w:r>
      <w:r w:rsidRPr="00C24512">
        <w:rPr>
          <w:lang w:val="fr-FR"/>
        </w:rPr>
        <w:t>). De plus, la règle de l</w:t>
      </w:r>
      <w:r w:rsidR="00C24512" w:rsidRPr="00C24512">
        <w:rPr>
          <w:lang w:val="fr-FR"/>
        </w:rPr>
        <w:t>’</w:t>
      </w:r>
      <w:r w:rsidRPr="00C24512">
        <w:rPr>
          <w:lang w:val="fr-FR"/>
        </w:rPr>
        <w:t>épuisement des voies de recours internes ne s</w:t>
      </w:r>
      <w:r w:rsidR="00C24512" w:rsidRPr="00C24512">
        <w:rPr>
          <w:lang w:val="fr-FR"/>
        </w:rPr>
        <w:t>’</w:t>
      </w:r>
      <w:r w:rsidRPr="00C24512">
        <w:rPr>
          <w:lang w:val="fr-FR"/>
        </w:rPr>
        <w:t>accommode pas d</w:t>
      </w:r>
      <w:r w:rsidR="00C24512" w:rsidRPr="00C24512">
        <w:rPr>
          <w:lang w:val="fr-FR"/>
        </w:rPr>
        <w:t>’</w:t>
      </w:r>
      <w:r w:rsidRPr="00C24512">
        <w:rPr>
          <w:lang w:val="fr-FR"/>
        </w:rPr>
        <w:t>une application automatique et ne revêt pas un caractère absolu : en en contrôlant le respect, il faut avoir égard aux circonstances de la cause. Cela signifie notamment que la Cour doit tenir compte de manière réaliste du contexte juridique et politique dans lequel les recours s</w:t>
      </w:r>
      <w:r w:rsidR="00C24512" w:rsidRPr="00C24512">
        <w:rPr>
          <w:lang w:val="fr-FR"/>
        </w:rPr>
        <w:t>’</w:t>
      </w:r>
      <w:r w:rsidRPr="00C24512">
        <w:rPr>
          <w:lang w:val="fr-FR"/>
        </w:rPr>
        <w:t>inscrivent ainsi que de la situation personnelle des requérants (</w:t>
      </w:r>
      <w:proofErr w:type="spellStart"/>
      <w:r w:rsidRPr="00C24512">
        <w:rPr>
          <w:i/>
          <w:lang w:val="fr-FR"/>
        </w:rPr>
        <w:t>Menteş</w:t>
      </w:r>
      <w:proofErr w:type="spellEnd"/>
      <w:r w:rsidRPr="00C24512">
        <w:rPr>
          <w:i/>
          <w:lang w:val="fr-FR"/>
        </w:rPr>
        <w:t xml:space="preserve"> et autres </w:t>
      </w:r>
      <w:proofErr w:type="spellStart"/>
      <w:r w:rsidRPr="00C24512">
        <w:rPr>
          <w:i/>
          <w:lang w:val="fr-FR"/>
        </w:rPr>
        <w:t>c.Turquie</w:t>
      </w:r>
      <w:proofErr w:type="spellEnd"/>
      <w:r w:rsidRPr="00C24512">
        <w:rPr>
          <w:lang w:val="fr-FR"/>
        </w:rPr>
        <w:t>, 28</w:t>
      </w:r>
      <w:r w:rsidR="00553FF0" w:rsidRPr="00C24512">
        <w:rPr>
          <w:lang w:val="fr-FR"/>
        </w:rPr>
        <w:t> </w:t>
      </w:r>
      <w:r w:rsidRPr="00C24512">
        <w:rPr>
          <w:lang w:val="fr-FR"/>
        </w:rPr>
        <w:t xml:space="preserve">novembre 1997, § 58, </w:t>
      </w:r>
      <w:r w:rsidRPr="00C24512">
        <w:rPr>
          <w:i/>
          <w:lang w:val="fr-FR"/>
        </w:rPr>
        <w:t>Recueil</w:t>
      </w:r>
      <w:r w:rsidRPr="00C24512">
        <w:rPr>
          <w:lang w:val="fr-FR"/>
        </w:rPr>
        <w:t xml:space="preserve"> 1997</w:t>
      </w:r>
      <w:r w:rsidRPr="00C24512">
        <w:rPr>
          <w:rFonts w:ascii="MS Mincho" w:eastAsia="MS Mincho" w:hAnsi="MS Mincho" w:cs="MS Mincho" w:hint="eastAsia"/>
          <w:lang w:val="fr-FR"/>
        </w:rPr>
        <w:t>‑</w:t>
      </w:r>
      <w:r w:rsidRPr="00C24512">
        <w:rPr>
          <w:lang w:val="fr-FR"/>
        </w:rPr>
        <w:t>VIII</w:t>
      </w:r>
      <w:r w:rsidR="00553FF0" w:rsidRPr="00C24512">
        <w:rPr>
          <w:lang w:val="fr-FR"/>
        </w:rPr>
        <w:t>, et</w:t>
      </w:r>
      <w:r w:rsidRPr="00C24512">
        <w:rPr>
          <w:lang w:val="fr-FR"/>
        </w:rPr>
        <w:t xml:space="preserve"> </w:t>
      </w:r>
      <w:proofErr w:type="spellStart"/>
      <w:r w:rsidRPr="00C24512">
        <w:rPr>
          <w:i/>
          <w:lang w:val="fr-FR"/>
        </w:rPr>
        <w:t>Gas</w:t>
      </w:r>
      <w:proofErr w:type="spellEnd"/>
      <w:r w:rsidRPr="00C24512">
        <w:rPr>
          <w:i/>
          <w:lang w:val="fr-FR"/>
        </w:rPr>
        <w:t xml:space="preserve"> et Dubois c. France</w:t>
      </w:r>
      <w:r w:rsidRPr="00C24512">
        <w:rPr>
          <w:lang w:val="fr-FR"/>
        </w:rPr>
        <w:t xml:space="preserve"> (déc.), n</w:t>
      </w:r>
      <w:r w:rsidRPr="00C24512">
        <w:rPr>
          <w:vertAlign w:val="superscript"/>
          <w:lang w:val="fr-FR"/>
        </w:rPr>
        <w:t>o</w:t>
      </w:r>
      <w:r w:rsidRPr="00C24512">
        <w:rPr>
          <w:lang w:val="fr-FR"/>
        </w:rPr>
        <w:t xml:space="preserve"> 25951/07, 31 août 2010).</w:t>
      </w:r>
    </w:p>
    <w:p w:rsidR="005B5811" w:rsidRPr="00C24512" w:rsidRDefault="005B5811" w:rsidP="00C24512">
      <w:pPr>
        <w:pStyle w:val="ECHRPara"/>
        <w:keepNext/>
        <w:keepLines/>
        <w:rPr>
          <w:lang w:val="fr-FR"/>
        </w:rPr>
      </w:pPr>
      <w:r w:rsidRPr="00C24512">
        <w:rPr>
          <w:lang w:val="fr-FR"/>
        </w:rPr>
        <w:lastRenderedPageBreak/>
        <w:fldChar w:fldCharType="begin"/>
      </w:r>
      <w:r w:rsidRPr="00C24512">
        <w:rPr>
          <w:lang w:val="fr-FR"/>
        </w:rPr>
        <w:instrText xml:space="preserve"> SEQ level0 \*arabic </w:instrText>
      </w:r>
      <w:r w:rsidRPr="00C24512">
        <w:rPr>
          <w:lang w:val="fr-FR"/>
        </w:rPr>
        <w:fldChar w:fldCharType="separate"/>
      </w:r>
      <w:r w:rsidR="00C24512" w:rsidRPr="00C24512">
        <w:rPr>
          <w:noProof/>
          <w:lang w:val="fr-FR"/>
        </w:rPr>
        <w:t>40</w:t>
      </w:r>
      <w:r w:rsidRPr="00C24512">
        <w:rPr>
          <w:lang w:val="fr-FR"/>
        </w:rPr>
        <w:fldChar w:fldCharType="end"/>
      </w:r>
      <w:r w:rsidRPr="00C24512">
        <w:rPr>
          <w:lang w:val="fr-FR"/>
        </w:rPr>
        <w:t>.  </w:t>
      </w:r>
      <w:r w:rsidR="004A1F22" w:rsidRPr="00C24512">
        <w:rPr>
          <w:lang w:val="fr-FR"/>
        </w:rPr>
        <w:t>La Cour rappelle ensuite que, p</w:t>
      </w:r>
      <w:r w:rsidRPr="00C24512">
        <w:rPr>
          <w:lang w:val="fr-FR"/>
        </w:rPr>
        <w:t>our pouvoir être jugé effectif, un recours doit être susceptible de remédier directement à la situation incriminée et présenter des perspectives raisonnables de succès (</w:t>
      </w:r>
      <w:proofErr w:type="spellStart"/>
      <w:r w:rsidRPr="00C24512">
        <w:rPr>
          <w:i/>
          <w:lang w:val="fr-FR"/>
        </w:rPr>
        <w:t>Balogh</w:t>
      </w:r>
      <w:proofErr w:type="spellEnd"/>
      <w:r w:rsidRPr="00C24512">
        <w:rPr>
          <w:i/>
          <w:lang w:val="fr-FR"/>
        </w:rPr>
        <w:t xml:space="preserve"> c.</w:t>
      </w:r>
      <w:r w:rsidR="004A1F22" w:rsidRPr="00C24512">
        <w:rPr>
          <w:i/>
          <w:lang w:val="fr-FR"/>
        </w:rPr>
        <w:t> </w:t>
      </w:r>
      <w:r w:rsidRPr="00C24512">
        <w:rPr>
          <w:i/>
          <w:lang w:val="fr-FR"/>
        </w:rPr>
        <w:t>Hongrie</w:t>
      </w:r>
      <w:r w:rsidRPr="00C24512">
        <w:rPr>
          <w:lang w:val="fr-FR"/>
        </w:rPr>
        <w:t>, n</w:t>
      </w:r>
      <w:r w:rsidRPr="00C24512">
        <w:rPr>
          <w:vertAlign w:val="superscript"/>
          <w:lang w:val="fr-FR"/>
        </w:rPr>
        <w:t>o</w:t>
      </w:r>
      <w:r w:rsidRPr="00C24512">
        <w:rPr>
          <w:lang w:val="fr-FR"/>
        </w:rPr>
        <w:t xml:space="preserve"> 47940/99, § 30, 20 juillet 2004, et </w:t>
      </w:r>
      <w:proofErr w:type="spellStart"/>
      <w:r w:rsidRPr="00C24512">
        <w:rPr>
          <w:i/>
          <w:lang w:val="fr-FR"/>
        </w:rPr>
        <w:t>Sejdovic</w:t>
      </w:r>
      <w:proofErr w:type="spellEnd"/>
      <w:r w:rsidRPr="00C24512">
        <w:rPr>
          <w:i/>
          <w:lang w:val="fr-FR"/>
        </w:rPr>
        <w:t xml:space="preserve"> c. Italie</w:t>
      </w:r>
      <w:r w:rsidRPr="00C24512">
        <w:rPr>
          <w:lang w:val="fr-FR"/>
        </w:rPr>
        <w:t xml:space="preserve"> [GC], n</w:t>
      </w:r>
      <w:r w:rsidRPr="00C24512">
        <w:rPr>
          <w:vertAlign w:val="superscript"/>
          <w:lang w:val="fr-FR"/>
        </w:rPr>
        <w:t>o</w:t>
      </w:r>
      <w:r w:rsidR="004A1F22" w:rsidRPr="00C24512">
        <w:rPr>
          <w:lang w:val="fr-FR"/>
        </w:rPr>
        <w:t> </w:t>
      </w:r>
      <w:r w:rsidRPr="00C24512">
        <w:rPr>
          <w:lang w:val="fr-FR"/>
        </w:rPr>
        <w:t>56581/00, § 46, CEDH 2006</w:t>
      </w:r>
      <w:r w:rsidRPr="00C24512">
        <w:rPr>
          <w:rFonts w:ascii="MS Mincho" w:eastAsia="MS Mincho" w:hAnsi="MS Mincho" w:cs="MS Mincho" w:hint="eastAsia"/>
          <w:lang w:val="fr-FR"/>
        </w:rPr>
        <w:t>‑</w:t>
      </w:r>
      <w:r w:rsidRPr="00C24512">
        <w:rPr>
          <w:lang w:val="fr-FR"/>
        </w:rPr>
        <w:t>II). Cependant, le simple fait de nourrir des doutes quant aux perspectives de succ</w:t>
      </w:r>
      <w:r w:rsidRPr="00C24512">
        <w:rPr>
          <w:rFonts w:ascii="Times New Roman" w:hAnsi="Times New Roman" w:cs="Times New Roman"/>
          <w:lang w:val="fr-FR"/>
        </w:rPr>
        <w:t>è</w:t>
      </w:r>
      <w:r w:rsidRPr="00C24512">
        <w:rPr>
          <w:lang w:val="fr-FR"/>
        </w:rPr>
        <w:t>s d</w:t>
      </w:r>
      <w:r w:rsidR="00C24512" w:rsidRPr="00C24512">
        <w:rPr>
          <w:rFonts w:ascii="Times New Roman" w:hAnsi="Times New Roman" w:cs="Times New Roman"/>
          <w:lang w:val="fr-FR"/>
        </w:rPr>
        <w:t>’</w:t>
      </w:r>
      <w:r w:rsidRPr="00C24512">
        <w:rPr>
          <w:lang w:val="fr-FR"/>
        </w:rPr>
        <w:t>un recours donné qui n</w:t>
      </w:r>
      <w:r w:rsidR="00C24512" w:rsidRPr="00C24512">
        <w:rPr>
          <w:lang w:val="fr-FR"/>
        </w:rPr>
        <w:t>’</w:t>
      </w:r>
      <w:r w:rsidRPr="00C24512">
        <w:rPr>
          <w:lang w:val="fr-FR"/>
        </w:rPr>
        <w:t>est pas de toute évidence voué à l</w:t>
      </w:r>
      <w:r w:rsidR="00C24512" w:rsidRPr="00C24512">
        <w:rPr>
          <w:lang w:val="fr-FR"/>
        </w:rPr>
        <w:t>’</w:t>
      </w:r>
      <w:r w:rsidRPr="00C24512">
        <w:rPr>
          <w:lang w:val="fr-FR"/>
        </w:rPr>
        <w:t>échec ne constitue pas une raison propre à justifier la non-utilisation du recours en question (</w:t>
      </w:r>
      <w:proofErr w:type="spellStart"/>
      <w:r w:rsidRPr="00C24512">
        <w:rPr>
          <w:i/>
          <w:lang w:val="fr-FR"/>
        </w:rPr>
        <w:t>Scoppola</w:t>
      </w:r>
      <w:proofErr w:type="spellEnd"/>
      <w:r w:rsidRPr="00C24512">
        <w:rPr>
          <w:i/>
          <w:lang w:val="fr-FR"/>
        </w:rPr>
        <w:t xml:space="preserve"> c. Italie</w:t>
      </w:r>
      <w:r w:rsidRPr="00C24512">
        <w:rPr>
          <w:lang w:val="fr-FR"/>
        </w:rPr>
        <w:t xml:space="preserve"> </w:t>
      </w:r>
      <w:r w:rsidRPr="00C24512">
        <w:rPr>
          <w:i/>
          <w:lang w:val="fr-FR"/>
        </w:rPr>
        <w:t>(n</w:t>
      </w:r>
      <w:r w:rsidRPr="00C24512">
        <w:rPr>
          <w:i/>
          <w:vertAlign w:val="superscript"/>
          <w:lang w:val="fr-FR"/>
        </w:rPr>
        <w:t>o</w:t>
      </w:r>
      <w:r w:rsidRPr="00C24512">
        <w:rPr>
          <w:i/>
          <w:lang w:val="fr-FR"/>
        </w:rPr>
        <w:t xml:space="preserve"> 2)</w:t>
      </w:r>
      <w:r w:rsidRPr="00C24512">
        <w:rPr>
          <w:lang w:val="fr-FR"/>
        </w:rPr>
        <w:t xml:space="preserve"> [GC], n</w:t>
      </w:r>
      <w:r w:rsidRPr="00C24512">
        <w:rPr>
          <w:vertAlign w:val="superscript"/>
          <w:lang w:val="fr-FR"/>
        </w:rPr>
        <w:t>o</w:t>
      </w:r>
      <w:r w:rsidR="004A1F22" w:rsidRPr="00C24512">
        <w:rPr>
          <w:lang w:val="fr-FR"/>
        </w:rPr>
        <w:t> </w:t>
      </w:r>
      <w:r w:rsidRPr="00C24512">
        <w:rPr>
          <w:lang w:val="fr-FR"/>
        </w:rPr>
        <w:t>10249/03, § 70, 17 septembre 2009).</w:t>
      </w:r>
    </w:p>
    <w:p w:rsidR="005B5811" w:rsidRPr="00C24512" w:rsidRDefault="005B5811" w:rsidP="00C24512">
      <w:pPr>
        <w:pStyle w:val="ECHRPara"/>
        <w:rPr>
          <w:lang w:val="fr-FR"/>
        </w:rPr>
      </w:pPr>
      <w:r w:rsidRPr="00C24512">
        <w:rPr>
          <w:lang w:val="fr-FR"/>
        </w:rPr>
        <w:fldChar w:fldCharType="begin"/>
      </w:r>
      <w:r w:rsidRPr="00C24512">
        <w:rPr>
          <w:lang w:val="fr-FR"/>
        </w:rPr>
        <w:instrText xml:space="preserve"> SEQ level0 \*arabic </w:instrText>
      </w:r>
      <w:r w:rsidRPr="00C24512">
        <w:rPr>
          <w:lang w:val="fr-FR"/>
        </w:rPr>
        <w:fldChar w:fldCharType="separate"/>
      </w:r>
      <w:r w:rsidR="00C24512" w:rsidRPr="00C24512">
        <w:rPr>
          <w:noProof/>
          <w:lang w:val="fr-FR"/>
        </w:rPr>
        <w:t>41</w:t>
      </w:r>
      <w:r w:rsidRPr="00C24512">
        <w:rPr>
          <w:lang w:val="fr-FR"/>
        </w:rPr>
        <w:fldChar w:fldCharType="end"/>
      </w:r>
      <w:r w:rsidRPr="00C24512">
        <w:rPr>
          <w:lang w:val="fr-FR"/>
        </w:rPr>
        <w:t>.  </w:t>
      </w:r>
      <w:r w:rsidR="004A1F22" w:rsidRPr="00C24512">
        <w:rPr>
          <w:lang w:val="fr-FR"/>
        </w:rPr>
        <w:t>La Cour rappelle enfin que, e</w:t>
      </w:r>
      <w:r w:rsidRPr="00C24512">
        <w:rPr>
          <w:lang w:val="fr-FR"/>
        </w:rPr>
        <w:t xml:space="preserve">n ce qui concerne la charge de la preuve, il incombe au Gouvernement excipant du non-épuisement de </w:t>
      </w:r>
      <w:r w:rsidR="004A1F22" w:rsidRPr="00C24512">
        <w:rPr>
          <w:lang w:val="fr-FR"/>
        </w:rPr>
        <w:t xml:space="preserve">la </w:t>
      </w:r>
      <w:r w:rsidRPr="00C24512">
        <w:rPr>
          <w:lang w:val="fr-FR"/>
        </w:rPr>
        <w:t>convaincre que le recours était effectif et disponible tant en théorie qu</w:t>
      </w:r>
      <w:r w:rsidR="00C24512" w:rsidRPr="00C24512">
        <w:rPr>
          <w:lang w:val="fr-FR"/>
        </w:rPr>
        <w:t>’</w:t>
      </w:r>
      <w:r w:rsidRPr="00C24512">
        <w:rPr>
          <w:lang w:val="fr-FR"/>
        </w:rPr>
        <w:t>en pratique à l</w:t>
      </w:r>
      <w:r w:rsidR="00C24512" w:rsidRPr="00C24512">
        <w:rPr>
          <w:lang w:val="fr-FR"/>
        </w:rPr>
        <w:t>’</w:t>
      </w:r>
      <w:r w:rsidRPr="00C24512">
        <w:rPr>
          <w:lang w:val="fr-FR"/>
        </w:rPr>
        <w:t>époque des faits. Une fois cela démontré, c</w:t>
      </w:r>
      <w:r w:rsidR="00C24512" w:rsidRPr="00C24512">
        <w:rPr>
          <w:lang w:val="fr-FR"/>
        </w:rPr>
        <w:t>’</w:t>
      </w:r>
      <w:r w:rsidRPr="00C24512">
        <w:rPr>
          <w:lang w:val="fr-FR"/>
        </w:rPr>
        <w:t>est au requérant qu</w:t>
      </w:r>
      <w:r w:rsidR="00C24512" w:rsidRPr="00C24512">
        <w:rPr>
          <w:lang w:val="fr-FR"/>
        </w:rPr>
        <w:t>’</w:t>
      </w:r>
      <w:r w:rsidRPr="00C24512">
        <w:rPr>
          <w:lang w:val="fr-FR"/>
        </w:rPr>
        <w:t>il revient d</w:t>
      </w:r>
      <w:r w:rsidR="00C24512" w:rsidRPr="00C24512">
        <w:rPr>
          <w:lang w:val="fr-FR"/>
        </w:rPr>
        <w:t>’</w:t>
      </w:r>
      <w:r w:rsidRPr="00C24512">
        <w:rPr>
          <w:lang w:val="fr-FR"/>
        </w:rPr>
        <w:t>établir que le recours évoqué par le Gouvernement a en fait été employé ou bien que, pour une raison quelconque, il n</w:t>
      </w:r>
      <w:r w:rsidR="00C24512" w:rsidRPr="00C24512">
        <w:rPr>
          <w:lang w:val="fr-FR"/>
        </w:rPr>
        <w:t>’</w:t>
      </w:r>
      <w:r w:rsidRPr="00C24512">
        <w:rPr>
          <w:lang w:val="fr-FR"/>
        </w:rPr>
        <w:t>était ni adéquat ni effectif compte tenu des faits de la cause, ou encore que certaines circonstances particulières dispensaient l</w:t>
      </w:r>
      <w:r w:rsidR="00C24512" w:rsidRPr="00C24512">
        <w:rPr>
          <w:lang w:val="fr-FR"/>
        </w:rPr>
        <w:t>’</w:t>
      </w:r>
      <w:r w:rsidRPr="00C24512">
        <w:rPr>
          <w:lang w:val="fr-FR"/>
        </w:rPr>
        <w:t>intéressé de l</w:t>
      </w:r>
      <w:r w:rsidR="00C24512" w:rsidRPr="00C24512">
        <w:rPr>
          <w:lang w:val="fr-FR"/>
        </w:rPr>
        <w:t>’</w:t>
      </w:r>
      <w:r w:rsidRPr="00C24512">
        <w:rPr>
          <w:lang w:val="fr-FR"/>
        </w:rPr>
        <w:t>exercer (</w:t>
      </w:r>
      <w:proofErr w:type="spellStart"/>
      <w:r w:rsidRPr="00C24512">
        <w:rPr>
          <w:i/>
          <w:lang w:val="fr-FR"/>
        </w:rPr>
        <w:t>McFarlane</w:t>
      </w:r>
      <w:proofErr w:type="spellEnd"/>
      <w:r w:rsidRPr="00C24512">
        <w:rPr>
          <w:i/>
          <w:lang w:val="fr-FR"/>
        </w:rPr>
        <w:t xml:space="preserve"> c. Irlande</w:t>
      </w:r>
      <w:r w:rsidRPr="00C24512">
        <w:rPr>
          <w:lang w:val="fr-FR"/>
        </w:rPr>
        <w:t xml:space="preserve"> [GC], n</w:t>
      </w:r>
      <w:r w:rsidRPr="00C24512">
        <w:rPr>
          <w:vertAlign w:val="superscript"/>
          <w:lang w:val="fr-FR"/>
        </w:rPr>
        <w:t>o</w:t>
      </w:r>
      <w:r w:rsidR="0020363D" w:rsidRPr="00C24512">
        <w:rPr>
          <w:lang w:val="fr-FR"/>
        </w:rPr>
        <w:t> </w:t>
      </w:r>
      <w:r w:rsidRPr="00C24512">
        <w:rPr>
          <w:lang w:val="fr-FR"/>
        </w:rPr>
        <w:t>31333/06, § 107, 10 septembre 2010</w:t>
      </w:r>
      <w:r w:rsidR="004A1F22" w:rsidRPr="00C24512">
        <w:rPr>
          <w:lang w:val="fr-FR"/>
        </w:rPr>
        <w:t xml:space="preserve">, </w:t>
      </w:r>
      <w:r w:rsidRPr="00C24512">
        <w:rPr>
          <w:lang w:val="fr-FR"/>
        </w:rPr>
        <w:t>et</w:t>
      </w:r>
      <w:r w:rsidR="008F7DEC" w:rsidRPr="00C24512">
        <w:rPr>
          <w:i/>
          <w:lang w:val="fr-FR"/>
        </w:rPr>
        <w:t xml:space="preserve"> </w:t>
      </w:r>
      <w:proofErr w:type="spellStart"/>
      <w:r w:rsidR="008F7DEC" w:rsidRPr="00C24512">
        <w:rPr>
          <w:i/>
          <w:lang w:val="fr-FR"/>
        </w:rPr>
        <w:t>Vučković</w:t>
      </w:r>
      <w:proofErr w:type="spellEnd"/>
      <w:r w:rsidR="008F7DEC" w:rsidRPr="00C24512">
        <w:rPr>
          <w:i/>
          <w:lang w:val="fr-FR"/>
        </w:rPr>
        <w:t xml:space="preserve"> et </w:t>
      </w:r>
      <w:r w:rsidRPr="00C24512">
        <w:rPr>
          <w:i/>
          <w:lang w:val="fr-FR"/>
        </w:rPr>
        <w:t xml:space="preserve">autres c. Serbie </w:t>
      </w:r>
      <w:r w:rsidRPr="00C24512">
        <w:rPr>
          <w:lang w:val="fr-FR"/>
        </w:rPr>
        <w:t>(exception préliminaire) [GC], n</w:t>
      </w:r>
      <w:r w:rsidRPr="00C24512">
        <w:rPr>
          <w:rFonts w:cs="Times New Roman"/>
          <w:vertAlign w:val="superscript"/>
          <w:lang w:val="fr-FR"/>
        </w:rPr>
        <w:t>os</w:t>
      </w:r>
      <w:r w:rsidRPr="00C24512">
        <w:rPr>
          <w:lang w:val="fr-FR"/>
        </w:rPr>
        <w:t xml:space="preserve"> 17153/11 et 29 autres, §</w:t>
      </w:r>
      <w:r w:rsidR="004A1F22" w:rsidRPr="00C24512">
        <w:rPr>
          <w:lang w:val="fr-FR"/>
        </w:rPr>
        <w:t> </w:t>
      </w:r>
      <w:r w:rsidRPr="00C24512">
        <w:rPr>
          <w:lang w:val="fr-FR"/>
        </w:rPr>
        <w:t>77, 25 mars 2014).</w:t>
      </w:r>
    </w:p>
    <w:p w:rsidR="005B5811" w:rsidRPr="00C24512" w:rsidRDefault="005B5811" w:rsidP="00C24512">
      <w:pPr>
        <w:pStyle w:val="ECHRPara"/>
        <w:rPr>
          <w:lang w:val="fr-FR"/>
        </w:rPr>
      </w:pPr>
      <w:r w:rsidRPr="00C24512">
        <w:rPr>
          <w:lang w:val="fr-FR"/>
        </w:rPr>
        <w:fldChar w:fldCharType="begin"/>
      </w:r>
      <w:r w:rsidRPr="00C24512">
        <w:rPr>
          <w:lang w:val="fr-FR"/>
        </w:rPr>
        <w:instrText xml:space="preserve"> SEQ level0 \*arabic </w:instrText>
      </w:r>
      <w:r w:rsidRPr="00C24512">
        <w:rPr>
          <w:lang w:val="fr-FR"/>
        </w:rPr>
        <w:fldChar w:fldCharType="separate"/>
      </w:r>
      <w:r w:rsidR="00C24512" w:rsidRPr="00C24512">
        <w:rPr>
          <w:noProof/>
          <w:lang w:val="fr-FR"/>
        </w:rPr>
        <w:t>42</w:t>
      </w:r>
      <w:r w:rsidRPr="00C24512">
        <w:rPr>
          <w:lang w:val="fr-FR"/>
        </w:rPr>
        <w:fldChar w:fldCharType="end"/>
      </w:r>
      <w:r w:rsidRPr="00C24512">
        <w:rPr>
          <w:lang w:val="fr-FR"/>
        </w:rPr>
        <w:t>.  En l</w:t>
      </w:r>
      <w:r w:rsidR="00C24512" w:rsidRPr="00C24512">
        <w:rPr>
          <w:lang w:val="fr-FR"/>
        </w:rPr>
        <w:t>’</w:t>
      </w:r>
      <w:r w:rsidRPr="00C24512">
        <w:rPr>
          <w:lang w:val="fr-FR"/>
        </w:rPr>
        <w:t>espèce, la Cour observe que la requérante a essayé d</w:t>
      </w:r>
      <w:r w:rsidR="00C24512" w:rsidRPr="00C24512">
        <w:rPr>
          <w:lang w:val="fr-FR"/>
        </w:rPr>
        <w:t>’</w:t>
      </w:r>
      <w:r w:rsidRPr="00C24512">
        <w:rPr>
          <w:lang w:val="fr-FR"/>
        </w:rPr>
        <w:t>obtenir le changement de son prénom en déposant une demande devant le préfet</w:t>
      </w:r>
      <w:r w:rsidR="004A1F22" w:rsidRPr="00C24512">
        <w:rPr>
          <w:lang w:val="fr-FR"/>
        </w:rPr>
        <w:t>, conformément à</w:t>
      </w:r>
      <w:r w:rsidRPr="00C24512">
        <w:rPr>
          <w:lang w:val="fr-FR"/>
        </w:rPr>
        <w:t xml:space="preserve"> l</w:t>
      </w:r>
      <w:r w:rsidR="00C24512" w:rsidRPr="00C24512">
        <w:rPr>
          <w:lang w:val="fr-FR"/>
        </w:rPr>
        <w:t>’</w:t>
      </w:r>
      <w:r w:rsidRPr="00C24512">
        <w:rPr>
          <w:lang w:val="fr-FR"/>
        </w:rPr>
        <w:t>article 89 du DPR n</w:t>
      </w:r>
      <w:r w:rsidRPr="00C24512">
        <w:rPr>
          <w:vertAlign w:val="superscript"/>
          <w:lang w:val="fr-FR"/>
        </w:rPr>
        <w:t>o</w:t>
      </w:r>
      <w:r w:rsidRPr="00C24512">
        <w:rPr>
          <w:lang w:val="fr-FR"/>
        </w:rPr>
        <w:t xml:space="preserve"> 396 de 2000, entré en vigueur </w:t>
      </w:r>
      <w:r w:rsidR="004A1F22" w:rsidRPr="00C24512">
        <w:rPr>
          <w:lang w:val="fr-FR"/>
        </w:rPr>
        <w:t>envi</w:t>
      </w:r>
      <w:r w:rsidR="005F0123" w:rsidRPr="00C24512">
        <w:rPr>
          <w:lang w:val="fr-FR"/>
        </w:rPr>
        <w:t>r</w:t>
      </w:r>
      <w:r w:rsidR="004A1F22" w:rsidRPr="00C24512">
        <w:rPr>
          <w:lang w:val="fr-FR"/>
        </w:rPr>
        <w:t xml:space="preserve">on </w:t>
      </w:r>
      <w:r w:rsidRPr="00C24512">
        <w:rPr>
          <w:lang w:val="fr-FR"/>
        </w:rPr>
        <w:t xml:space="preserve">sept mois </w:t>
      </w:r>
      <w:r w:rsidR="004A1F22" w:rsidRPr="00C24512">
        <w:rPr>
          <w:lang w:val="fr-FR"/>
        </w:rPr>
        <w:t>plus tôt</w:t>
      </w:r>
      <w:r w:rsidRPr="00C24512">
        <w:rPr>
          <w:lang w:val="fr-FR"/>
        </w:rPr>
        <w:t xml:space="preserve">. </w:t>
      </w:r>
      <w:r w:rsidR="003B2CA8" w:rsidRPr="00C24512">
        <w:rPr>
          <w:lang w:val="fr-FR"/>
        </w:rPr>
        <w:t>Devant elle</w:t>
      </w:r>
      <w:r w:rsidR="00211D8D" w:rsidRPr="00C24512">
        <w:rPr>
          <w:lang w:val="fr-FR"/>
        </w:rPr>
        <w:t>, l</w:t>
      </w:r>
      <w:r w:rsidR="00C24512" w:rsidRPr="00C24512">
        <w:rPr>
          <w:lang w:val="fr-FR"/>
        </w:rPr>
        <w:t>’</w:t>
      </w:r>
      <w:r w:rsidR="00211D8D" w:rsidRPr="00C24512">
        <w:rPr>
          <w:lang w:val="fr-FR"/>
        </w:rPr>
        <w:t>intéressée soutient</w:t>
      </w:r>
      <w:r w:rsidR="00DD0E03" w:rsidRPr="00C24512">
        <w:rPr>
          <w:lang w:val="fr-FR"/>
        </w:rPr>
        <w:t>, en s</w:t>
      </w:r>
      <w:r w:rsidR="00C24512" w:rsidRPr="00C24512">
        <w:rPr>
          <w:lang w:val="fr-FR"/>
        </w:rPr>
        <w:t>’</w:t>
      </w:r>
      <w:r w:rsidR="00DD0E03" w:rsidRPr="00C24512">
        <w:rPr>
          <w:lang w:val="fr-FR"/>
        </w:rPr>
        <w:t>appuyant sur un exemple de jurisprudence,</w:t>
      </w:r>
      <w:r w:rsidRPr="00C24512">
        <w:rPr>
          <w:lang w:val="fr-FR"/>
        </w:rPr>
        <w:t xml:space="preserve"> qu</w:t>
      </w:r>
      <w:r w:rsidR="00C24512" w:rsidRPr="00C24512">
        <w:rPr>
          <w:lang w:val="fr-FR"/>
        </w:rPr>
        <w:t>’</w:t>
      </w:r>
      <w:r w:rsidRPr="00C24512">
        <w:rPr>
          <w:lang w:val="fr-FR"/>
        </w:rPr>
        <w:t>avant l</w:t>
      </w:r>
      <w:r w:rsidR="00C24512" w:rsidRPr="00C24512">
        <w:rPr>
          <w:lang w:val="fr-FR"/>
        </w:rPr>
        <w:t>’</w:t>
      </w:r>
      <w:r w:rsidRPr="00C24512">
        <w:rPr>
          <w:lang w:val="fr-FR"/>
        </w:rPr>
        <w:t>entrée en vigueur de</w:t>
      </w:r>
      <w:r w:rsidR="00E0339F" w:rsidRPr="00C24512">
        <w:rPr>
          <w:lang w:val="fr-FR"/>
        </w:rPr>
        <w:t xml:space="preserve"> ladite disposition le </w:t>
      </w:r>
      <w:r w:rsidR="00211D8D" w:rsidRPr="00C24512">
        <w:rPr>
          <w:lang w:val="fr-FR"/>
        </w:rPr>
        <w:t>p</w:t>
      </w:r>
      <w:r w:rsidRPr="00C24512">
        <w:rPr>
          <w:lang w:val="fr-FR"/>
        </w:rPr>
        <w:t xml:space="preserve">rocureur </w:t>
      </w:r>
      <w:r w:rsidR="00D21FA5" w:rsidRPr="00C24512">
        <w:rPr>
          <w:lang w:val="fr-FR"/>
        </w:rPr>
        <w:t xml:space="preserve">général </w:t>
      </w:r>
      <w:r w:rsidRPr="00C24512">
        <w:rPr>
          <w:lang w:val="fr-FR"/>
        </w:rPr>
        <w:t xml:space="preserve">de la </w:t>
      </w:r>
      <w:r w:rsidR="002638BE" w:rsidRPr="00C24512">
        <w:rPr>
          <w:lang w:val="fr-FR"/>
        </w:rPr>
        <w:t>R</w:t>
      </w:r>
      <w:r w:rsidRPr="00C24512">
        <w:rPr>
          <w:lang w:val="fr-FR"/>
        </w:rPr>
        <w:t xml:space="preserve">épublique, qui était </w:t>
      </w:r>
      <w:r w:rsidR="00E0339F" w:rsidRPr="00C24512">
        <w:rPr>
          <w:lang w:val="fr-FR"/>
        </w:rPr>
        <w:t>à l</w:t>
      </w:r>
      <w:r w:rsidR="00C24512" w:rsidRPr="00C24512">
        <w:rPr>
          <w:lang w:val="fr-FR"/>
        </w:rPr>
        <w:t>’</w:t>
      </w:r>
      <w:r w:rsidR="00E0339F" w:rsidRPr="00C24512">
        <w:rPr>
          <w:lang w:val="fr-FR"/>
        </w:rPr>
        <w:t xml:space="preserve">époque </w:t>
      </w:r>
      <w:r w:rsidRPr="00C24512">
        <w:rPr>
          <w:lang w:val="fr-FR"/>
        </w:rPr>
        <w:t>compétent pour décider, faisait régulièrement droit aux demandes de changement de prénom introduites par des personnes transsexuelles, même en l</w:t>
      </w:r>
      <w:r w:rsidR="00C24512" w:rsidRPr="00C24512">
        <w:rPr>
          <w:lang w:val="fr-FR"/>
        </w:rPr>
        <w:t>’</w:t>
      </w:r>
      <w:r w:rsidRPr="00C24512">
        <w:rPr>
          <w:lang w:val="fr-FR"/>
        </w:rPr>
        <w:t>absence d</w:t>
      </w:r>
      <w:r w:rsidR="00C24512" w:rsidRPr="00C24512">
        <w:rPr>
          <w:lang w:val="fr-FR"/>
        </w:rPr>
        <w:t>’</w:t>
      </w:r>
      <w:r w:rsidRPr="00C24512">
        <w:rPr>
          <w:lang w:val="fr-FR"/>
        </w:rPr>
        <w:t xml:space="preserve">une décision judiciaire définitive </w:t>
      </w:r>
      <w:r w:rsidR="00315469" w:rsidRPr="00C24512">
        <w:rPr>
          <w:lang w:val="fr-FR"/>
        </w:rPr>
        <w:t>portant</w:t>
      </w:r>
      <w:r w:rsidRPr="00C24512">
        <w:rPr>
          <w:lang w:val="fr-FR"/>
        </w:rPr>
        <w:t xml:space="preserve"> </w:t>
      </w:r>
      <w:r w:rsidR="00315469" w:rsidRPr="00C24512">
        <w:rPr>
          <w:lang w:val="fr-FR"/>
        </w:rPr>
        <w:t>rectification de l</w:t>
      </w:r>
      <w:r w:rsidR="00C24512" w:rsidRPr="00C24512">
        <w:rPr>
          <w:lang w:val="fr-FR"/>
        </w:rPr>
        <w:t>’</w:t>
      </w:r>
      <w:r w:rsidR="00315469" w:rsidRPr="00C24512">
        <w:rPr>
          <w:lang w:val="fr-FR"/>
        </w:rPr>
        <w:t>attribution du sexe</w:t>
      </w:r>
      <w:r w:rsidRPr="00C24512">
        <w:rPr>
          <w:lang w:val="fr-FR"/>
        </w:rPr>
        <w:t xml:space="preserve">. En revanche, la requérante </w:t>
      </w:r>
      <w:r w:rsidR="00211D8D" w:rsidRPr="00C24512">
        <w:rPr>
          <w:lang w:val="fr-FR"/>
        </w:rPr>
        <w:t xml:space="preserve">dit ne </w:t>
      </w:r>
      <w:r w:rsidRPr="00C24512">
        <w:rPr>
          <w:lang w:val="fr-FR"/>
        </w:rPr>
        <w:t>conna</w:t>
      </w:r>
      <w:r w:rsidR="00211D8D" w:rsidRPr="00C24512">
        <w:rPr>
          <w:lang w:val="fr-FR"/>
        </w:rPr>
        <w:t>ître</w:t>
      </w:r>
      <w:r w:rsidRPr="00C24512">
        <w:rPr>
          <w:lang w:val="fr-FR"/>
        </w:rPr>
        <w:t xml:space="preserve"> aucune décision favorable prise par le préfet sous l</w:t>
      </w:r>
      <w:r w:rsidR="00C24512" w:rsidRPr="00C24512">
        <w:rPr>
          <w:lang w:val="fr-FR"/>
        </w:rPr>
        <w:t>’</w:t>
      </w:r>
      <w:r w:rsidRPr="00C24512">
        <w:rPr>
          <w:lang w:val="fr-FR"/>
        </w:rPr>
        <w:t xml:space="preserve">empire du </w:t>
      </w:r>
      <w:r w:rsidR="00E0339F" w:rsidRPr="00C24512">
        <w:rPr>
          <w:lang w:val="fr-FR"/>
        </w:rPr>
        <w:t xml:space="preserve">nouveau </w:t>
      </w:r>
      <w:r w:rsidR="001213D2" w:rsidRPr="00C24512">
        <w:rPr>
          <w:lang w:val="fr-FR"/>
        </w:rPr>
        <w:t xml:space="preserve">décret présidentiel, à savoir le </w:t>
      </w:r>
      <w:r w:rsidRPr="00C24512">
        <w:rPr>
          <w:lang w:val="fr-FR"/>
        </w:rPr>
        <w:t>DPR n</w:t>
      </w:r>
      <w:r w:rsidRPr="00C24512">
        <w:rPr>
          <w:vertAlign w:val="superscript"/>
          <w:lang w:val="fr-FR"/>
        </w:rPr>
        <w:t>o</w:t>
      </w:r>
      <w:r w:rsidRPr="00C24512">
        <w:rPr>
          <w:lang w:val="fr-FR"/>
        </w:rPr>
        <w:t xml:space="preserve"> 396 de 2000.</w:t>
      </w:r>
    </w:p>
    <w:p w:rsidR="005B5811" w:rsidRPr="00C24512" w:rsidRDefault="005B5811" w:rsidP="00C24512">
      <w:pPr>
        <w:pStyle w:val="ECHRPara"/>
        <w:rPr>
          <w:lang w:val="fr-FR"/>
        </w:rPr>
      </w:pPr>
      <w:r w:rsidRPr="00C24512">
        <w:rPr>
          <w:lang w:val="fr-FR"/>
        </w:rPr>
        <w:fldChar w:fldCharType="begin"/>
      </w:r>
      <w:r w:rsidRPr="00C24512">
        <w:rPr>
          <w:lang w:val="fr-FR"/>
        </w:rPr>
        <w:instrText xml:space="preserve"> SEQ level0 \*arabic </w:instrText>
      </w:r>
      <w:r w:rsidRPr="00C24512">
        <w:rPr>
          <w:lang w:val="fr-FR"/>
        </w:rPr>
        <w:fldChar w:fldCharType="separate"/>
      </w:r>
      <w:r w:rsidR="00C24512" w:rsidRPr="00C24512">
        <w:rPr>
          <w:noProof/>
          <w:lang w:val="fr-FR"/>
        </w:rPr>
        <w:t>43</w:t>
      </w:r>
      <w:r w:rsidRPr="00C24512">
        <w:rPr>
          <w:lang w:val="fr-FR"/>
        </w:rPr>
        <w:fldChar w:fldCharType="end"/>
      </w:r>
      <w:r w:rsidRPr="00C24512">
        <w:rPr>
          <w:lang w:val="fr-FR"/>
        </w:rPr>
        <w:t>.  </w:t>
      </w:r>
      <w:r w:rsidR="001C1127" w:rsidRPr="00C24512">
        <w:rPr>
          <w:lang w:val="fr-FR"/>
        </w:rPr>
        <w:t>Quant au Gouvernement, la</w:t>
      </w:r>
      <w:r w:rsidRPr="00C24512">
        <w:rPr>
          <w:lang w:val="fr-FR"/>
        </w:rPr>
        <w:t xml:space="preserve"> Cour relève qu</w:t>
      </w:r>
      <w:r w:rsidR="00C24512" w:rsidRPr="00C24512">
        <w:rPr>
          <w:lang w:val="fr-FR"/>
        </w:rPr>
        <w:t>’</w:t>
      </w:r>
      <w:r w:rsidR="001C1127" w:rsidRPr="00C24512">
        <w:rPr>
          <w:lang w:val="fr-FR"/>
        </w:rPr>
        <w:t>il</w:t>
      </w:r>
      <w:r w:rsidRPr="00C24512">
        <w:rPr>
          <w:lang w:val="fr-FR"/>
        </w:rPr>
        <w:t xml:space="preserve"> se borne à </w:t>
      </w:r>
      <w:r w:rsidR="001213D2" w:rsidRPr="00C24512">
        <w:rPr>
          <w:lang w:val="fr-FR"/>
        </w:rPr>
        <w:t>plaider</w:t>
      </w:r>
      <w:r w:rsidRPr="00C24512">
        <w:rPr>
          <w:lang w:val="fr-FR"/>
        </w:rPr>
        <w:t xml:space="preserve"> qu</w:t>
      </w:r>
      <w:r w:rsidR="00C24512" w:rsidRPr="00C24512">
        <w:rPr>
          <w:lang w:val="fr-FR"/>
        </w:rPr>
        <w:t>’</w:t>
      </w:r>
      <w:r w:rsidRPr="00C24512">
        <w:rPr>
          <w:lang w:val="fr-FR"/>
        </w:rPr>
        <w:t>un appel devant le Conseil d</w:t>
      </w:r>
      <w:r w:rsidR="00C24512" w:rsidRPr="00C24512">
        <w:rPr>
          <w:lang w:val="fr-FR"/>
        </w:rPr>
        <w:t>’</w:t>
      </w:r>
      <w:r w:rsidRPr="00C24512">
        <w:rPr>
          <w:lang w:val="fr-FR"/>
        </w:rPr>
        <w:t xml:space="preserve">État aurait constitué une voie de recours </w:t>
      </w:r>
      <w:r w:rsidR="00DB4D8E" w:rsidRPr="00C24512">
        <w:rPr>
          <w:lang w:val="fr-FR"/>
        </w:rPr>
        <w:t xml:space="preserve">à même de </w:t>
      </w:r>
      <w:r w:rsidRPr="00C24512">
        <w:rPr>
          <w:lang w:val="fr-FR"/>
        </w:rPr>
        <w:t>permett</w:t>
      </w:r>
      <w:r w:rsidR="00DB4D8E" w:rsidRPr="00C24512">
        <w:rPr>
          <w:lang w:val="fr-FR"/>
        </w:rPr>
        <w:t>re</w:t>
      </w:r>
      <w:r w:rsidRPr="00C24512">
        <w:rPr>
          <w:lang w:val="fr-FR"/>
        </w:rPr>
        <w:t xml:space="preserve"> à la requérante d</w:t>
      </w:r>
      <w:r w:rsidR="00C24512" w:rsidRPr="00C24512">
        <w:rPr>
          <w:lang w:val="fr-FR"/>
        </w:rPr>
        <w:t>’</w:t>
      </w:r>
      <w:r w:rsidRPr="00C24512">
        <w:rPr>
          <w:lang w:val="fr-FR"/>
        </w:rPr>
        <w:t>obtenir réparation de la violation alléguée</w:t>
      </w:r>
      <w:r w:rsidR="00E0339F" w:rsidRPr="00C24512">
        <w:rPr>
          <w:lang w:val="fr-FR"/>
        </w:rPr>
        <w:t>,</w:t>
      </w:r>
      <w:r w:rsidRPr="00C24512">
        <w:rPr>
          <w:lang w:val="fr-FR"/>
        </w:rPr>
        <w:t xml:space="preserve"> sans pour</w:t>
      </w:r>
      <w:r w:rsidR="001C1127" w:rsidRPr="00C24512">
        <w:rPr>
          <w:lang w:val="fr-FR"/>
        </w:rPr>
        <w:t xml:space="preserve"> au</w:t>
      </w:r>
      <w:r w:rsidRPr="00C24512">
        <w:rPr>
          <w:lang w:val="fr-FR"/>
        </w:rPr>
        <w:t xml:space="preserve">tant </w:t>
      </w:r>
      <w:r w:rsidR="001C1127" w:rsidRPr="00C24512">
        <w:rPr>
          <w:lang w:val="fr-FR"/>
        </w:rPr>
        <w:t>étayer</w:t>
      </w:r>
      <w:r w:rsidRPr="00C24512">
        <w:rPr>
          <w:lang w:val="fr-FR"/>
        </w:rPr>
        <w:t xml:space="preserve"> son </w:t>
      </w:r>
      <w:r w:rsidR="001C1127" w:rsidRPr="00C24512">
        <w:rPr>
          <w:lang w:val="fr-FR"/>
        </w:rPr>
        <w:t>assertion</w:t>
      </w:r>
      <w:r w:rsidRPr="00C24512">
        <w:rPr>
          <w:lang w:val="fr-FR"/>
        </w:rPr>
        <w:t xml:space="preserve"> </w:t>
      </w:r>
      <w:r w:rsidR="001C1127" w:rsidRPr="00C24512">
        <w:rPr>
          <w:lang w:val="fr-FR"/>
        </w:rPr>
        <w:t>par une</w:t>
      </w:r>
      <w:r w:rsidRPr="00C24512">
        <w:rPr>
          <w:lang w:val="fr-FR"/>
        </w:rPr>
        <w:t xml:space="preserve"> jurisprudence et une pratique établies.</w:t>
      </w:r>
    </w:p>
    <w:p w:rsidR="005B5811" w:rsidRPr="00C24512" w:rsidRDefault="005B5811" w:rsidP="00C24512">
      <w:pPr>
        <w:pStyle w:val="ECHRPara"/>
        <w:rPr>
          <w:lang w:val="fr-FR"/>
        </w:rPr>
      </w:pPr>
      <w:r w:rsidRPr="00C24512">
        <w:rPr>
          <w:lang w:val="fr-FR"/>
        </w:rPr>
        <w:fldChar w:fldCharType="begin"/>
      </w:r>
      <w:r w:rsidRPr="00C24512">
        <w:rPr>
          <w:lang w:val="fr-FR"/>
        </w:rPr>
        <w:instrText xml:space="preserve"> SEQ level0 \*arabic </w:instrText>
      </w:r>
      <w:r w:rsidRPr="00C24512">
        <w:rPr>
          <w:lang w:val="fr-FR"/>
        </w:rPr>
        <w:fldChar w:fldCharType="separate"/>
      </w:r>
      <w:r w:rsidR="00C24512" w:rsidRPr="00C24512">
        <w:rPr>
          <w:noProof/>
          <w:lang w:val="fr-FR"/>
        </w:rPr>
        <w:t>44</w:t>
      </w:r>
      <w:r w:rsidRPr="00C24512">
        <w:rPr>
          <w:lang w:val="fr-FR"/>
        </w:rPr>
        <w:fldChar w:fldCharType="end"/>
      </w:r>
      <w:r w:rsidRPr="00C24512">
        <w:rPr>
          <w:lang w:val="fr-FR"/>
        </w:rPr>
        <w:t>.  </w:t>
      </w:r>
      <w:r w:rsidR="00433B24" w:rsidRPr="00C24512">
        <w:rPr>
          <w:lang w:val="fr-FR"/>
        </w:rPr>
        <w:t>Par conséquent, e</w:t>
      </w:r>
      <w:r w:rsidR="001C1127" w:rsidRPr="00C24512">
        <w:rPr>
          <w:lang w:val="fr-FR"/>
        </w:rPr>
        <w:t>u égard aux</w:t>
      </w:r>
      <w:r w:rsidRPr="00C24512">
        <w:rPr>
          <w:lang w:val="fr-FR"/>
        </w:rPr>
        <w:t xml:space="preserve"> éléments </w:t>
      </w:r>
      <w:r w:rsidR="001C1127" w:rsidRPr="00C24512">
        <w:rPr>
          <w:lang w:val="fr-FR"/>
        </w:rPr>
        <w:t>dont elle</w:t>
      </w:r>
      <w:r w:rsidRPr="00C24512">
        <w:rPr>
          <w:lang w:val="fr-FR"/>
        </w:rPr>
        <w:t xml:space="preserve"> dispos</w:t>
      </w:r>
      <w:r w:rsidR="001C1127" w:rsidRPr="00C24512">
        <w:rPr>
          <w:lang w:val="fr-FR"/>
        </w:rPr>
        <w:t>e</w:t>
      </w:r>
      <w:r w:rsidRPr="00C24512">
        <w:rPr>
          <w:lang w:val="fr-FR"/>
        </w:rPr>
        <w:t>, la Cour considère que, si la requérante pouvait s</w:t>
      </w:r>
      <w:r w:rsidR="00C24512" w:rsidRPr="00C24512">
        <w:rPr>
          <w:lang w:val="fr-FR"/>
        </w:rPr>
        <w:t>’</w:t>
      </w:r>
      <w:r w:rsidRPr="00C24512">
        <w:rPr>
          <w:lang w:val="fr-FR"/>
        </w:rPr>
        <w:t xml:space="preserve">attendre </w:t>
      </w:r>
      <w:r w:rsidR="0069530C" w:rsidRPr="00C24512">
        <w:rPr>
          <w:lang w:val="fr-FR"/>
        </w:rPr>
        <w:t xml:space="preserve">à ce </w:t>
      </w:r>
      <w:r w:rsidRPr="00C24512">
        <w:rPr>
          <w:lang w:val="fr-FR"/>
        </w:rPr>
        <w:t xml:space="preserve">que sa demande </w:t>
      </w:r>
      <w:r w:rsidR="001C1127" w:rsidRPr="00C24512">
        <w:rPr>
          <w:lang w:val="fr-FR"/>
        </w:rPr>
        <w:t>fût</w:t>
      </w:r>
      <w:r w:rsidRPr="00C24512">
        <w:rPr>
          <w:lang w:val="fr-FR"/>
        </w:rPr>
        <w:t xml:space="preserve"> accueillie </w:t>
      </w:r>
      <w:r w:rsidR="00E0339F" w:rsidRPr="00C24512">
        <w:rPr>
          <w:lang w:val="fr-FR"/>
        </w:rPr>
        <w:t xml:space="preserve">lors de son introduction </w:t>
      </w:r>
      <w:r w:rsidRPr="00C24512">
        <w:rPr>
          <w:lang w:val="fr-FR"/>
        </w:rPr>
        <w:t>en 200</w:t>
      </w:r>
      <w:r w:rsidR="003F7C2E" w:rsidRPr="00C24512">
        <w:rPr>
          <w:lang w:val="fr-FR"/>
        </w:rPr>
        <w:t>1</w:t>
      </w:r>
      <w:r w:rsidRPr="00C24512">
        <w:rPr>
          <w:lang w:val="fr-FR"/>
        </w:rPr>
        <w:t xml:space="preserve"> </w:t>
      </w:r>
      <w:r w:rsidR="007D29D2" w:rsidRPr="00C24512">
        <w:rPr>
          <w:lang w:val="fr-FR"/>
        </w:rPr>
        <w:t xml:space="preserve">compte tenu </w:t>
      </w:r>
      <w:r w:rsidR="00287192" w:rsidRPr="00C24512">
        <w:rPr>
          <w:lang w:val="fr-FR"/>
        </w:rPr>
        <w:t xml:space="preserve">de la </w:t>
      </w:r>
      <w:r w:rsidR="00F7238A" w:rsidRPr="00C24512">
        <w:rPr>
          <w:lang w:val="fr-FR"/>
        </w:rPr>
        <w:t>pratique</w:t>
      </w:r>
      <w:r w:rsidR="00287192" w:rsidRPr="00C24512">
        <w:rPr>
          <w:lang w:val="fr-FR"/>
        </w:rPr>
        <w:t xml:space="preserve"> </w:t>
      </w:r>
      <w:r w:rsidR="00F7238A" w:rsidRPr="00C24512">
        <w:rPr>
          <w:lang w:val="fr-FR"/>
        </w:rPr>
        <w:t>existant</w:t>
      </w:r>
      <w:r w:rsidR="00B66B74" w:rsidRPr="00C24512">
        <w:rPr>
          <w:lang w:val="fr-FR"/>
        </w:rPr>
        <w:t xml:space="preserve"> </w:t>
      </w:r>
      <w:r w:rsidR="00970CDF" w:rsidRPr="00C24512">
        <w:rPr>
          <w:lang w:val="fr-FR"/>
        </w:rPr>
        <w:t>avant l</w:t>
      </w:r>
      <w:r w:rsidR="00C24512" w:rsidRPr="00C24512">
        <w:rPr>
          <w:lang w:val="fr-FR"/>
        </w:rPr>
        <w:t>’</w:t>
      </w:r>
      <w:r w:rsidR="00970CDF" w:rsidRPr="00C24512">
        <w:rPr>
          <w:lang w:val="fr-FR"/>
        </w:rPr>
        <w:t>entrée en vigueur du nouveau DPR n</w:t>
      </w:r>
      <w:r w:rsidR="00671DC4" w:rsidRPr="00C24512">
        <w:rPr>
          <w:vertAlign w:val="superscript"/>
          <w:lang w:val="fr-FR"/>
        </w:rPr>
        <w:t>o</w:t>
      </w:r>
      <w:r w:rsidR="00970CDF" w:rsidRPr="00C24512">
        <w:rPr>
          <w:lang w:val="fr-FR"/>
        </w:rPr>
        <w:t xml:space="preserve"> 396</w:t>
      </w:r>
      <w:r w:rsidR="00287192" w:rsidRPr="00C24512">
        <w:rPr>
          <w:lang w:val="fr-FR"/>
        </w:rPr>
        <w:t xml:space="preserve">, </w:t>
      </w:r>
      <w:r w:rsidRPr="00C24512">
        <w:rPr>
          <w:lang w:val="fr-FR"/>
        </w:rPr>
        <w:t xml:space="preserve">elle pouvait également </w:t>
      </w:r>
      <w:r w:rsidR="00E0339F" w:rsidRPr="00C24512">
        <w:rPr>
          <w:lang w:val="fr-FR"/>
        </w:rPr>
        <w:t xml:space="preserve">légitimement </w:t>
      </w:r>
      <w:r w:rsidRPr="00C24512">
        <w:rPr>
          <w:lang w:val="fr-FR"/>
        </w:rPr>
        <w:t>déduire du contexte juridique existant en 2008 qu</w:t>
      </w:r>
      <w:r w:rsidR="00C24512" w:rsidRPr="00C24512">
        <w:rPr>
          <w:lang w:val="fr-FR"/>
        </w:rPr>
        <w:t>’</w:t>
      </w:r>
      <w:r w:rsidRPr="00C24512">
        <w:rPr>
          <w:lang w:val="fr-FR"/>
        </w:rPr>
        <w:t>un appel devant le Conseil d</w:t>
      </w:r>
      <w:r w:rsidR="00C24512" w:rsidRPr="00C24512">
        <w:rPr>
          <w:lang w:val="fr-FR"/>
        </w:rPr>
        <w:t>’</w:t>
      </w:r>
      <w:r w:rsidRPr="00C24512">
        <w:rPr>
          <w:lang w:val="fr-FR"/>
        </w:rPr>
        <w:t>État était voué à l</w:t>
      </w:r>
      <w:r w:rsidR="00C24512" w:rsidRPr="00C24512">
        <w:rPr>
          <w:lang w:val="fr-FR"/>
        </w:rPr>
        <w:t>’</w:t>
      </w:r>
      <w:r w:rsidRPr="00C24512">
        <w:rPr>
          <w:lang w:val="fr-FR"/>
        </w:rPr>
        <w:t>échec. Partant, il y a lieu de rejeter l</w:t>
      </w:r>
      <w:r w:rsidR="00C24512" w:rsidRPr="00C24512">
        <w:rPr>
          <w:lang w:val="fr-FR"/>
        </w:rPr>
        <w:t>’</w:t>
      </w:r>
      <w:r w:rsidRPr="00C24512">
        <w:rPr>
          <w:lang w:val="fr-FR"/>
        </w:rPr>
        <w:t>exception du Gouvernement.</w:t>
      </w:r>
    </w:p>
    <w:p w:rsidR="005B5811" w:rsidRPr="00C24512" w:rsidRDefault="005B5811" w:rsidP="00C24512">
      <w:pPr>
        <w:pStyle w:val="ECHRPara"/>
        <w:rPr>
          <w:lang w:val="fr-FR"/>
        </w:rPr>
      </w:pPr>
      <w:r w:rsidRPr="00C24512">
        <w:rPr>
          <w:lang w:val="fr-FR"/>
        </w:rPr>
        <w:lastRenderedPageBreak/>
        <w:fldChar w:fldCharType="begin"/>
      </w:r>
      <w:r w:rsidRPr="00C24512">
        <w:rPr>
          <w:lang w:val="fr-FR"/>
        </w:rPr>
        <w:instrText xml:space="preserve"> SEQ level0 \*arabic </w:instrText>
      </w:r>
      <w:r w:rsidRPr="00C24512">
        <w:rPr>
          <w:lang w:val="fr-FR"/>
        </w:rPr>
        <w:fldChar w:fldCharType="separate"/>
      </w:r>
      <w:r w:rsidR="00C24512" w:rsidRPr="00C24512">
        <w:rPr>
          <w:noProof/>
          <w:lang w:val="fr-FR"/>
        </w:rPr>
        <w:t>45</w:t>
      </w:r>
      <w:r w:rsidRPr="00C24512">
        <w:rPr>
          <w:lang w:val="fr-FR"/>
        </w:rPr>
        <w:fldChar w:fldCharType="end"/>
      </w:r>
      <w:r w:rsidRPr="00C24512">
        <w:rPr>
          <w:lang w:val="fr-FR"/>
        </w:rPr>
        <w:t>.  Constatant par ailleurs que ce grief n</w:t>
      </w:r>
      <w:r w:rsidR="00C24512" w:rsidRPr="00C24512">
        <w:rPr>
          <w:lang w:val="fr-FR"/>
        </w:rPr>
        <w:t>’</w:t>
      </w:r>
      <w:r w:rsidRPr="00C24512">
        <w:rPr>
          <w:lang w:val="fr-FR"/>
        </w:rPr>
        <w:t>est pas manifestement mal fondé au sens de l</w:t>
      </w:r>
      <w:r w:rsidR="00C24512" w:rsidRPr="00C24512">
        <w:rPr>
          <w:lang w:val="fr-FR"/>
        </w:rPr>
        <w:t>’</w:t>
      </w:r>
      <w:r w:rsidRPr="00C24512">
        <w:rPr>
          <w:lang w:val="fr-FR"/>
        </w:rPr>
        <w:t>article 35 § 3 a) de la Convention et qu</w:t>
      </w:r>
      <w:r w:rsidR="00C24512" w:rsidRPr="00C24512">
        <w:rPr>
          <w:lang w:val="fr-FR"/>
        </w:rPr>
        <w:t>’</w:t>
      </w:r>
      <w:r w:rsidRPr="00C24512">
        <w:rPr>
          <w:lang w:val="fr-FR"/>
        </w:rPr>
        <w:t>il ne se heurte par ailleurs à aucun autre motif d</w:t>
      </w:r>
      <w:r w:rsidR="00C24512" w:rsidRPr="00C24512">
        <w:rPr>
          <w:lang w:val="fr-FR"/>
        </w:rPr>
        <w:t>’</w:t>
      </w:r>
      <w:r w:rsidRPr="00C24512">
        <w:rPr>
          <w:lang w:val="fr-FR"/>
        </w:rPr>
        <w:t>irrecevabilité, la Cour le déclare recevable.</w:t>
      </w:r>
    </w:p>
    <w:p w:rsidR="005B5811" w:rsidRPr="00C24512" w:rsidRDefault="005B5811" w:rsidP="00C24512">
      <w:pPr>
        <w:pStyle w:val="ECHRHeading2"/>
        <w:rPr>
          <w:lang w:val="fr-FR"/>
        </w:rPr>
      </w:pPr>
      <w:r w:rsidRPr="00C24512">
        <w:rPr>
          <w:lang w:val="fr-FR"/>
        </w:rPr>
        <w:t>B.  Sur le fond</w:t>
      </w:r>
    </w:p>
    <w:p w:rsidR="005B5811" w:rsidRPr="00C24512" w:rsidRDefault="00F145BE" w:rsidP="00C24512">
      <w:pPr>
        <w:pStyle w:val="ECHRHeading3"/>
        <w:rPr>
          <w:lang w:val="fr-FR"/>
        </w:rPr>
      </w:pPr>
      <w:r w:rsidRPr="00C24512">
        <w:rPr>
          <w:lang w:val="fr-FR"/>
        </w:rPr>
        <w:t>1.  </w:t>
      </w:r>
      <w:r w:rsidR="005B5811" w:rsidRPr="00C24512">
        <w:rPr>
          <w:lang w:val="fr-FR"/>
        </w:rPr>
        <w:t>Thèses des parties</w:t>
      </w:r>
    </w:p>
    <w:p w:rsidR="005B5811" w:rsidRPr="00C24512" w:rsidRDefault="005B5811" w:rsidP="00C24512">
      <w:pPr>
        <w:pStyle w:val="ECHRPara"/>
        <w:rPr>
          <w:lang w:val="fr-FR"/>
        </w:rPr>
      </w:pPr>
      <w:r w:rsidRPr="00C24512">
        <w:rPr>
          <w:lang w:val="fr-FR"/>
        </w:rPr>
        <w:fldChar w:fldCharType="begin"/>
      </w:r>
      <w:r w:rsidRPr="00C24512">
        <w:rPr>
          <w:lang w:val="fr-FR"/>
        </w:rPr>
        <w:instrText xml:space="preserve"> SEQ level0 \*arabic </w:instrText>
      </w:r>
      <w:r w:rsidRPr="00C24512">
        <w:rPr>
          <w:lang w:val="fr-FR"/>
        </w:rPr>
        <w:fldChar w:fldCharType="separate"/>
      </w:r>
      <w:r w:rsidR="00C24512" w:rsidRPr="00C24512">
        <w:rPr>
          <w:noProof/>
          <w:lang w:val="fr-FR"/>
        </w:rPr>
        <w:t>46</w:t>
      </w:r>
      <w:r w:rsidRPr="00C24512">
        <w:rPr>
          <w:lang w:val="fr-FR"/>
        </w:rPr>
        <w:fldChar w:fldCharType="end"/>
      </w:r>
      <w:r w:rsidRPr="00C24512">
        <w:rPr>
          <w:lang w:val="fr-FR"/>
        </w:rPr>
        <w:t xml:space="preserve">.  La requérante considère que le refus des autorités nationales de lui permettre de changer de prénom avant </w:t>
      </w:r>
      <w:r w:rsidR="003F7C2E" w:rsidRPr="00C24512">
        <w:rPr>
          <w:lang w:val="fr-FR"/>
        </w:rPr>
        <w:t xml:space="preserve">la réalisation de </w:t>
      </w:r>
      <w:r w:rsidRPr="00C24512">
        <w:rPr>
          <w:lang w:val="fr-FR"/>
        </w:rPr>
        <w:t>l</w:t>
      </w:r>
      <w:r w:rsidR="00C24512" w:rsidRPr="00C24512">
        <w:rPr>
          <w:lang w:val="fr-FR"/>
        </w:rPr>
        <w:t>’</w:t>
      </w:r>
      <w:r w:rsidRPr="00C24512">
        <w:rPr>
          <w:lang w:val="fr-FR"/>
        </w:rPr>
        <w:t xml:space="preserve">opération chirurgicale de </w:t>
      </w:r>
      <w:r w:rsidR="006A23AD" w:rsidRPr="00C24512">
        <w:rPr>
          <w:lang w:val="fr-FR"/>
        </w:rPr>
        <w:t>conversion</w:t>
      </w:r>
      <w:r w:rsidRPr="00C24512">
        <w:rPr>
          <w:lang w:val="fr-FR"/>
        </w:rPr>
        <w:t xml:space="preserve"> sexuelle a entravé son droit au respect de sa vie privée.</w:t>
      </w:r>
    </w:p>
    <w:p w:rsidR="005B5811" w:rsidRPr="00C24512" w:rsidRDefault="005B5811" w:rsidP="00C24512">
      <w:pPr>
        <w:pStyle w:val="ECHRPara"/>
        <w:rPr>
          <w:lang w:val="fr-FR"/>
        </w:rPr>
      </w:pPr>
      <w:r w:rsidRPr="00C24512">
        <w:rPr>
          <w:lang w:val="fr-FR"/>
        </w:rPr>
        <w:fldChar w:fldCharType="begin"/>
      </w:r>
      <w:r w:rsidRPr="00C24512">
        <w:rPr>
          <w:lang w:val="fr-FR"/>
        </w:rPr>
        <w:instrText xml:space="preserve"> SEQ level0 \*arabic </w:instrText>
      </w:r>
      <w:r w:rsidRPr="00C24512">
        <w:rPr>
          <w:lang w:val="fr-FR"/>
        </w:rPr>
        <w:fldChar w:fldCharType="separate"/>
      </w:r>
      <w:r w:rsidR="00C24512" w:rsidRPr="00C24512">
        <w:rPr>
          <w:noProof/>
          <w:lang w:val="fr-FR"/>
        </w:rPr>
        <w:t>47</w:t>
      </w:r>
      <w:r w:rsidRPr="00C24512">
        <w:rPr>
          <w:lang w:val="fr-FR"/>
        </w:rPr>
        <w:fldChar w:fldCharType="end"/>
      </w:r>
      <w:r w:rsidRPr="00C24512">
        <w:rPr>
          <w:lang w:val="fr-FR"/>
        </w:rPr>
        <w:t xml:space="preserve">.  La requérante </w:t>
      </w:r>
      <w:r w:rsidR="00F91F74" w:rsidRPr="00C24512">
        <w:rPr>
          <w:lang w:val="fr-FR"/>
        </w:rPr>
        <w:t>expose</w:t>
      </w:r>
      <w:r w:rsidRPr="00C24512">
        <w:rPr>
          <w:lang w:val="fr-FR"/>
        </w:rPr>
        <w:t xml:space="preserve"> que, par </w:t>
      </w:r>
      <w:r w:rsidR="00F91F74" w:rsidRPr="00C24512">
        <w:rPr>
          <w:lang w:val="fr-FR"/>
        </w:rPr>
        <w:t>son</w:t>
      </w:r>
      <w:r w:rsidRPr="00C24512">
        <w:rPr>
          <w:lang w:val="fr-FR"/>
        </w:rPr>
        <w:t xml:space="preserve"> jugement du 10 mai 2001, le tribunal </w:t>
      </w:r>
      <w:r w:rsidR="00C14B77" w:rsidRPr="00C24512">
        <w:rPr>
          <w:lang w:val="fr-FR"/>
        </w:rPr>
        <w:t xml:space="preserve">civil </w:t>
      </w:r>
      <w:r w:rsidRPr="00C24512">
        <w:rPr>
          <w:lang w:val="fr-FR"/>
        </w:rPr>
        <w:t>de Rome l</w:t>
      </w:r>
      <w:r w:rsidR="00C24512" w:rsidRPr="00C24512">
        <w:rPr>
          <w:lang w:val="fr-FR"/>
        </w:rPr>
        <w:t>’</w:t>
      </w:r>
      <w:r w:rsidRPr="00C24512">
        <w:rPr>
          <w:lang w:val="fr-FR"/>
        </w:rPr>
        <w:t xml:space="preserve">a officiellement reconnue comme étant transsexuelle. </w:t>
      </w:r>
      <w:r w:rsidR="003F7C2E" w:rsidRPr="00C24512">
        <w:rPr>
          <w:lang w:val="fr-FR"/>
        </w:rPr>
        <w:t>D</w:t>
      </w:r>
      <w:r w:rsidRPr="00C24512">
        <w:rPr>
          <w:lang w:val="fr-FR"/>
        </w:rPr>
        <w:t xml:space="preserve">e ce fait, son droit au respect de son identité de genre </w:t>
      </w:r>
      <w:r w:rsidR="003F7C2E" w:rsidRPr="00C24512">
        <w:rPr>
          <w:lang w:val="fr-FR"/>
        </w:rPr>
        <w:t xml:space="preserve">aurait </w:t>
      </w:r>
      <w:r w:rsidRPr="00C24512">
        <w:rPr>
          <w:lang w:val="fr-FR"/>
        </w:rPr>
        <w:t>mérit</w:t>
      </w:r>
      <w:r w:rsidR="003F7C2E" w:rsidRPr="00C24512">
        <w:rPr>
          <w:lang w:val="fr-FR"/>
        </w:rPr>
        <w:t>é</w:t>
      </w:r>
      <w:r w:rsidRPr="00C24512">
        <w:rPr>
          <w:lang w:val="fr-FR"/>
        </w:rPr>
        <w:t xml:space="preserve"> d</w:t>
      </w:r>
      <w:r w:rsidR="00C24512" w:rsidRPr="00C24512">
        <w:rPr>
          <w:lang w:val="fr-FR"/>
        </w:rPr>
        <w:t>’</w:t>
      </w:r>
      <w:r w:rsidRPr="00C24512">
        <w:rPr>
          <w:lang w:val="fr-FR"/>
        </w:rPr>
        <w:t xml:space="preserve">être protégé, bien que sa conversion sexuelle ne fût pas encore conclue </w:t>
      </w:r>
      <w:r w:rsidR="00F91F74" w:rsidRPr="00C24512">
        <w:rPr>
          <w:lang w:val="fr-FR"/>
        </w:rPr>
        <w:t>au moyen de</w:t>
      </w:r>
      <w:r w:rsidRPr="00C24512">
        <w:rPr>
          <w:lang w:val="fr-FR"/>
        </w:rPr>
        <w:t xml:space="preserve"> l</w:t>
      </w:r>
      <w:r w:rsidR="00C24512" w:rsidRPr="00C24512">
        <w:rPr>
          <w:lang w:val="fr-FR"/>
        </w:rPr>
        <w:t>’</w:t>
      </w:r>
      <w:r w:rsidRPr="00C24512">
        <w:rPr>
          <w:lang w:val="fr-FR"/>
        </w:rPr>
        <w:t xml:space="preserve">intervention chirurgicale. </w:t>
      </w:r>
      <w:r w:rsidR="00F91F74" w:rsidRPr="00C24512">
        <w:rPr>
          <w:lang w:val="fr-FR"/>
        </w:rPr>
        <w:t>À</w:t>
      </w:r>
      <w:r w:rsidRPr="00C24512">
        <w:rPr>
          <w:lang w:val="fr-FR"/>
        </w:rPr>
        <w:t xml:space="preserve"> ce propos, </w:t>
      </w:r>
      <w:r w:rsidR="003F7C2E" w:rsidRPr="00C24512">
        <w:rPr>
          <w:lang w:val="fr-FR"/>
        </w:rPr>
        <w:t>la requérante estime</w:t>
      </w:r>
      <w:r w:rsidRPr="00C24512">
        <w:rPr>
          <w:lang w:val="fr-FR"/>
        </w:rPr>
        <w:t xml:space="preserve"> que le Gouvernement </w:t>
      </w:r>
      <w:r w:rsidR="00AC3F77" w:rsidRPr="00C24512">
        <w:rPr>
          <w:lang w:val="fr-FR"/>
        </w:rPr>
        <w:t>a tort d</w:t>
      </w:r>
      <w:r w:rsidR="00C24512" w:rsidRPr="00C24512">
        <w:rPr>
          <w:lang w:val="fr-FR"/>
        </w:rPr>
        <w:t>’</w:t>
      </w:r>
      <w:r w:rsidRPr="00C24512">
        <w:rPr>
          <w:lang w:val="fr-FR"/>
        </w:rPr>
        <w:t>invoque</w:t>
      </w:r>
      <w:r w:rsidR="00AC3F77" w:rsidRPr="00C24512">
        <w:rPr>
          <w:lang w:val="fr-FR"/>
        </w:rPr>
        <w:t>r</w:t>
      </w:r>
      <w:r w:rsidRPr="00C24512">
        <w:rPr>
          <w:lang w:val="fr-FR"/>
        </w:rPr>
        <w:t xml:space="preserve"> la marge d</w:t>
      </w:r>
      <w:r w:rsidR="00C24512" w:rsidRPr="00C24512">
        <w:rPr>
          <w:lang w:val="fr-FR"/>
        </w:rPr>
        <w:t>’</w:t>
      </w:r>
      <w:r w:rsidRPr="00C24512">
        <w:rPr>
          <w:lang w:val="fr-FR"/>
        </w:rPr>
        <w:t>appréciation des États en la matière, car</w:t>
      </w:r>
      <w:r w:rsidR="00F91F74" w:rsidRPr="00C24512">
        <w:rPr>
          <w:lang w:val="fr-FR"/>
        </w:rPr>
        <w:t>, selon elle,</w:t>
      </w:r>
      <w:r w:rsidRPr="00C24512">
        <w:rPr>
          <w:lang w:val="fr-FR"/>
        </w:rPr>
        <w:t xml:space="preserve"> le système national a fait preuve de rigidité bien que la loi n</w:t>
      </w:r>
      <w:r w:rsidRPr="00C24512">
        <w:rPr>
          <w:vertAlign w:val="superscript"/>
          <w:lang w:val="fr-FR"/>
        </w:rPr>
        <w:t>o</w:t>
      </w:r>
      <w:r w:rsidRPr="00C24512">
        <w:rPr>
          <w:lang w:val="fr-FR"/>
        </w:rPr>
        <w:t> 164 de 1982 n</w:t>
      </w:r>
      <w:r w:rsidR="00C24512" w:rsidRPr="00C24512">
        <w:rPr>
          <w:lang w:val="fr-FR"/>
        </w:rPr>
        <w:t>’</w:t>
      </w:r>
      <w:r w:rsidRPr="00C24512">
        <w:rPr>
          <w:lang w:val="fr-FR"/>
        </w:rPr>
        <w:t>ait jamais mentionné l</w:t>
      </w:r>
      <w:r w:rsidR="00C24512" w:rsidRPr="00C24512">
        <w:rPr>
          <w:lang w:val="fr-FR"/>
        </w:rPr>
        <w:t>’</w:t>
      </w:r>
      <w:r w:rsidRPr="00C24512">
        <w:rPr>
          <w:lang w:val="fr-FR"/>
        </w:rPr>
        <w:t>intervention chirurgicale parmi les conditions pour l</w:t>
      </w:r>
      <w:r w:rsidR="00C24512" w:rsidRPr="00C24512">
        <w:rPr>
          <w:lang w:val="fr-FR"/>
        </w:rPr>
        <w:t>’</w:t>
      </w:r>
      <w:r w:rsidRPr="00C24512">
        <w:rPr>
          <w:lang w:val="fr-FR"/>
        </w:rPr>
        <w:t>obtention de la reconnaissance de l</w:t>
      </w:r>
      <w:r w:rsidR="00C24512" w:rsidRPr="00C24512">
        <w:rPr>
          <w:lang w:val="fr-FR"/>
        </w:rPr>
        <w:t>’</w:t>
      </w:r>
      <w:r w:rsidRPr="00C24512">
        <w:rPr>
          <w:lang w:val="fr-FR"/>
        </w:rPr>
        <w:t xml:space="preserve">identité de genre des personnes transsexuelles. </w:t>
      </w:r>
      <w:r w:rsidR="0023536C" w:rsidRPr="00C24512">
        <w:rPr>
          <w:lang w:val="fr-FR"/>
        </w:rPr>
        <w:t>Elle</w:t>
      </w:r>
      <w:r w:rsidRPr="00C24512">
        <w:rPr>
          <w:lang w:val="fr-FR"/>
        </w:rPr>
        <w:t xml:space="preserve"> soutient que les autorités ont interprété la législation nationale de manière restrictive et </w:t>
      </w:r>
      <w:r w:rsidR="00F91F74" w:rsidRPr="00C24512">
        <w:rPr>
          <w:lang w:val="fr-FR"/>
        </w:rPr>
        <w:t>ont ainsi</w:t>
      </w:r>
      <w:r w:rsidRPr="00C24512">
        <w:rPr>
          <w:lang w:val="fr-FR"/>
        </w:rPr>
        <w:t xml:space="preserve"> </w:t>
      </w:r>
      <w:r w:rsidR="00F91F74" w:rsidRPr="00C24512">
        <w:rPr>
          <w:lang w:val="fr-FR"/>
        </w:rPr>
        <w:t>failli à leurs</w:t>
      </w:r>
      <w:r w:rsidRPr="00C24512">
        <w:rPr>
          <w:lang w:val="fr-FR"/>
        </w:rPr>
        <w:t xml:space="preserve"> obligations positives inhérentes </w:t>
      </w:r>
      <w:r w:rsidR="00F91F74" w:rsidRPr="00C24512">
        <w:rPr>
          <w:lang w:val="fr-FR"/>
        </w:rPr>
        <w:t>au respect</w:t>
      </w:r>
      <w:r w:rsidRPr="00C24512">
        <w:rPr>
          <w:lang w:val="fr-FR"/>
        </w:rPr>
        <w:t xml:space="preserve"> de l</w:t>
      </w:r>
      <w:r w:rsidR="00C24512" w:rsidRPr="00C24512">
        <w:rPr>
          <w:lang w:val="fr-FR"/>
        </w:rPr>
        <w:t>’</w:t>
      </w:r>
      <w:r w:rsidRPr="00C24512">
        <w:rPr>
          <w:lang w:val="fr-FR"/>
        </w:rPr>
        <w:t>article 8 de la Convention.</w:t>
      </w:r>
    </w:p>
    <w:p w:rsidR="005B5811" w:rsidRPr="00C24512" w:rsidRDefault="005B5811" w:rsidP="00C24512">
      <w:pPr>
        <w:pStyle w:val="ECHRPara"/>
        <w:rPr>
          <w:lang w:val="fr-FR"/>
        </w:rPr>
      </w:pPr>
      <w:r w:rsidRPr="00C24512">
        <w:rPr>
          <w:lang w:val="fr-FR"/>
        </w:rPr>
        <w:fldChar w:fldCharType="begin"/>
      </w:r>
      <w:r w:rsidRPr="00C24512">
        <w:rPr>
          <w:lang w:val="fr-FR"/>
        </w:rPr>
        <w:instrText xml:space="preserve"> SEQ level0 \*arabic </w:instrText>
      </w:r>
      <w:r w:rsidRPr="00C24512">
        <w:rPr>
          <w:lang w:val="fr-FR"/>
        </w:rPr>
        <w:fldChar w:fldCharType="separate"/>
      </w:r>
      <w:r w:rsidR="00C24512" w:rsidRPr="00C24512">
        <w:rPr>
          <w:noProof/>
          <w:lang w:val="fr-FR"/>
        </w:rPr>
        <w:t>48</w:t>
      </w:r>
      <w:r w:rsidRPr="00C24512">
        <w:rPr>
          <w:lang w:val="fr-FR"/>
        </w:rPr>
        <w:fldChar w:fldCharType="end"/>
      </w:r>
      <w:r w:rsidRPr="00C24512">
        <w:rPr>
          <w:lang w:val="fr-FR"/>
        </w:rPr>
        <w:t>.  Dans ses observations, la requérante précise par ailleurs que ses doléances ont trait uniquement au refus des autorités de lui accorder le changement de p</w:t>
      </w:r>
      <w:r w:rsidR="004109A4" w:rsidRPr="00C24512">
        <w:rPr>
          <w:lang w:val="fr-FR"/>
        </w:rPr>
        <w:t>rénom</w:t>
      </w:r>
      <w:r w:rsidRPr="00C24512">
        <w:rPr>
          <w:lang w:val="fr-FR"/>
        </w:rPr>
        <w:t xml:space="preserve"> et ne mettent guère en question le processus décisionnel</w:t>
      </w:r>
      <w:r w:rsidR="006F45B0" w:rsidRPr="00C24512">
        <w:rPr>
          <w:lang w:val="fr-FR"/>
        </w:rPr>
        <w:t xml:space="preserve"> relatif à</w:t>
      </w:r>
      <w:r w:rsidRPr="00C24512">
        <w:rPr>
          <w:lang w:val="fr-FR"/>
        </w:rPr>
        <w:t xml:space="preserve"> </w:t>
      </w:r>
      <w:r w:rsidR="005E5E3F" w:rsidRPr="00C24512">
        <w:rPr>
          <w:lang w:val="fr-FR"/>
        </w:rPr>
        <w:t>la</w:t>
      </w:r>
      <w:r w:rsidRPr="00C24512">
        <w:rPr>
          <w:lang w:val="fr-FR"/>
        </w:rPr>
        <w:t xml:space="preserve"> </w:t>
      </w:r>
      <w:r w:rsidR="005E5E3F" w:rsidRPr="00C24512">
        <w:rPr>
          <w:lang w:val="fr-FR"/>
        </w:rPr>
        <w:t>rectification de l</w:t>
      </w:r>
      <w:r w:rsidR="00C24512" w:rsidRPr="00C24512">
        <w:rPr>
          <w:lang w:val="fr-FR"/>
        </w:rPr>
        <w:t>’</w:t>
      </w:r>
      <w:r w:rsidR="005E5E3F" w:rsidRPr="00C24512">
        <w:rPr>
          <w:lang w:val="fr-FR"/>
        </w:rPr>
        <w:t>attribution du sexe</w:t>
      </w:r>
      <w:r w:rsidRPr="00C24512">
        <w:rPr>
          <w:lang w:val="fr-FR"/>
        </w:rPr>
        <w:t>.</w:t>
      </w:r>
    </w:p>
    <w:p w:rsidR="00D8245E" w:rsidRPr="00C24512" w:rsidRDefault="005B5811" w:rsidP="00C24512">
      <w:pPr>
        <w:pStyle w:val="ECHRPara"/>
        <w:rPr>
          <w:lang w:val="fr-FR"/>
        </w:rPr>
      </w:pPr>
      <w:r w:rsidRPr="00C24512">
        <w:rPr>
          <w:lang w:val="fr-FR"/>
        </w:rPr>
        <w:fldChar w:fldCharType="begin"/>
      </w:r>
      <w:r w:rsidRPr="00C24512">
        <w:rPr>
          <w:lang w:val="fr-FR"/>
        </w:rPr>
        <w:instrText xml:space="preserve"> SEQ level0 \*arabic </w:instrText>
      </w:r>
      <w:r w:rsidRPr="00C24512">
        <w:rPr>
          <w:lang w:val="fr-FR"/>
        </w:rPr>
        <w:fldChar w:fldCharType="separate"/>
      </w:r>
      <w:r w:rsidR="00C24512" w:rsidRPr="00C24512">
        <w:rPr>
          <w:noProof/>
          <w:lang w:val="fr-FR"/>
        </w:rPr>
        <w:t>49</w:t>
      </w:r>
      <w:r w:rsidRPr="00C24512">
        <w:rPr>
          <w:lang w:val="fr-FR"/>
        </w:rPr>
        <w:fldChar w:fldCharType="end"/>
      </w:r>
      <w:r w:rsidRPr="00C24512">
        <w:rPr>
          <w:lang w:val="fr-FR"/>
        </w:rPr>
        <w:t xml:space="preserve">.  Le Gouvernement </w:t>
      </w:r>
      <w:r w:rsidR="000067F9" w:rsidRPr="00C24512">
        <w:rPr>
          <w:lang w:val="fr-FR"/>
        </w:rPr>
        <w:t>réplique</w:t>
      </w:r>
      <w:r w:rsidRPr="00C24512">
        <w:rPr>
          <w:lang w:val="fr-FR"/>
        </w:rPr>
        <w:t xml:space="preserve"> que</w:t>
      </w:r>
      <w:r w:rsidR="000067F9" w:rsidRPr="00C24512">
        <w:rPr>
          <w:lang w:val="fr-FR"/>
        </w:rPr>
        <w:t>, par sa</w:t>
      </w:r>
      <w:r w:rsidRPr="00C24512">
        <w:rPr>
          <w:lang w:val="fr-FR"/>
        </w:rPr>
        <w:t xml:space="preserve"> demande </w:t>
      </w:r>
      <w:r w:rsidR="000067F9" w:rsidRPr="00C24512">
        <w:rPr>
          <w:lang w:val="fr-FR"/>
        </w:rPr>
        <w:t>de</w:t>
      </w:r>
      <w:r w:rsidRPr="00C24512">
        <w:rPr>
          <w:lang w:val="fr-FR"/>
        </w:rPr>
        <w:t xml:space="preserve"> changement de prénom</w:t>
      </w:r>
      <w:r w:rsidR="000067F9" w:rsidRPr="00C24512">
        <w:rPr>
          <w:lang w:val="fr-FR"/>
        </w:rPr>
        <w:t xml:space="preserve">, la requérante </w:t>
      </w:r>
      <w:r w:rsidRPr="00C24512">
        <w:rPr>
          <w:lang w:val="fr-FR"/>
        </w:rPr>
        <w:t xml:space="preserve">avait comme seul objectif </w:t>
      </w:r>
      <w:r w:rsidR="000067F9" w:rsidRPr="00C24512">
        <w:rPr>
          <w:lang w:val="fr-FR"/>
        </w:rPr>
        <w:t>de se voir reconnaître u</w:t>
      </w:r>
      <w:r w:rsidRPr="00C24512">
        <w:rPr>
          <w:lang w:val="fr-FR"/>
        </w:rPr>
        <w:t xml:space="preserve">ne nouvelle identité </w:t>
      </w:r>
      <w:r w:rsidR="006E0216" w:rsidRPr="00C24512">
        <w:rPr>
          <w:lang w:val="fr-FR"/>
        </w:rPr>
        <w:t>sexuelle</w:t>
      </w:r>
      <w:r w:rsidRPr="00C24512">
        <w:rPr>
          <w:lang w:val="fr-FR"/>
        </w:rPr>
        <w:t xml:space="preserve"> sans </w:t>
      </w:r>
      <w:r w:rsidR="000067F9" w:rsidRPr="00C24512">
        <w:rPr>
          <w:lang w:val="fr-FR"/>
        </w:rPr>
        <w:t>passer par la réalisation d</w:t>
      </w:r>
      <w:r w:rsidR="00C24512" w:rsidRPr="00C24512">
        <w:rPr>
          <w:lang w:val="fr-FR"/>
        </w:rPr>
        <w:t>’</w:t>
      </w:r>
      <w:r w:rsidR="000067F9" w:rsidRPr="00C24512">
        <w:rPr>
          <w:lang w:val="fr-FR"/>
        </w:rPr>
        <w:t xml:space="preserve">une </w:t>
      </w:r>
      <w:r w:rsidRPr="00C24512">
        <w:rPr>
          <w:lang w:val="fr-FR"/>
        </w:rPr>
        <w:t xml:space="preserve">intervention chirurgicale, </w:t>
      </w:r>
      <w:r w:rsidR="004C4DFD" w:rsidRPr="00C24512">
        <w:rPr>
          <w:lang w:val="fr-FR"/>
        </w:rPr>
        <w:t xml:space="preserve">et ce, selon lui, en violation </w:t>
      </w:r>
      <w:r w:rsidRPr="00C24512">
        <w:rPr>
          <w:lang w:val="fr-FR"/>
        </w:rPr>
        <w:t xml:space="preserve">des dispositions </w:t>
      </w:r>
      <w:r w:rsidR="004C4DFD" w:rsidRPr="00C24512">
        <w:rPr>
          <w:lang w:val="fr-FR"/>
        </w:rPr>
        <w:t>légales</w:t>
      </w:r>
      <w:r w:rsidRPr="00C24512">
        <w:rPr>
          <w:lang w:val="fr-FR"/>
        </w:rPr>
        <w:t xml:space="preserve"> en vigueur. Il soutient que le</w:t>
      </w:r>
      <w:r w:rsidR="00E61AE4" w:rsidRPr="00C24512">
        <w:rPr>
          <w:lang w:val="fr-FR"/>
        </w:rPr>
        <w:t xml:space="preserve"> droit positif italien permet la rectification du prénom </w:t>
      </w:r>
      <w:r w:rsidR="00D8245E" w:rsidRPr="00C24512">
        <w:rPr>
          <w:lang w:val="fr-FR"/>
        </w:rPr>
        <w:t>d</w:t>
      </w:r>
      <w:r w:rsidR="00C24512" w:rsidRPr="00C24512">
        <w:rPr>
          <w:lang w:val="fr-FR"/>
        </w:rPr>
        <w:t>’</w:t>
      </w:r>
      <w:r w:rsidR="00D8245E" w:rsidRPr="00C24512">
        <w:rPr>
          <w:lang w:val="fr-FR"/>
        </w:rPr>
        <w:t>une personne transsexuelle seulement après vérification de la part des autorités d</w:t>
      </w:r>
      <w:r w:rsidR="000214E9" w:rsidRPr="00C24512">
        <w:rPr>
          <w:lang w:val="fr-FR"/>
        </w:rPr>
        <w:t xml:space="preserve">u </w:t>
      </w:r>
      <w:r w:rsidR="00D8245E" w:rsidRPr="00C24512">
        <w:rPr>
          <w:lang w:val="fr-FR"/>
        </w:rPr>
        <w:t>véritable</w:t>
      </w:r>
      <w:r w:rsidR="000214E9" w:rsidRPr="00C24512">
        <w:rPr>
          <w:lang w:val="fr-FR"/>
        </w:rPr>
        <w:t xml:space="preserve"> état</w:t>
      </w:r>
      <w:r w:rsidR="00D8245E" w:rsidRPr="00C24512">
        <w:rPr>
          <w:lang w:val="fr-FR"/>
        </w:rPr>
        <w:t xml:space="preserve"> psychologi</w:t>
      </w:r>
      <w:r w:rsidR="000214E9" w:rsidRPr="00C24512">
        <w:rPr>
          <w:lang w:val="fr-FR"/>
        </w:rPr>
        <w:t>qu</w:t>
      </w:r>
      <w:r w:rsidR="00D8245E" w:rsidRPr="00C24512">
        <w:rPr>
          <w:lang w:val="fr-FR"/>
        </w:rPr>
        <w:t xml:space="preserve">e et </w:t>
      </w:r>
      <w:r w:rsidR="000214E9" w:rsidRPr="00C24512">
        <w:rPr>
          <w:lang w:val="fr-FR"/>
        </w:rPr>
        <w:t xml:space="preserve">du </w:t>
      </w:r>
      <w:r w:rsidR="00D8245E" w:rsidRPr="00C24512">
        <w:rPr>
          <w:lang w:val="fr-FR"/>
        </w:rPr>
        <w:t>comportement de celle</w:t>
      </w:r>
      <w:r w:rsidR="000214E9" w:rsidRPr="00C24512">
        <w:rPr>
          <w:lang w:val="fr-FR"/>
        </w:rPr>
        <w:noBreakHyphen/>
      </w:r>
      <w:r w:rsidR="00D8245E" w:rsidRPr="00C24512">
        <w:rPr>
          <w:lang w:val="fr-FR"/>
        </w:rPr>
        <w:t xml:space="preserve">ci. </w:t>
      </w:r>
      <w:r w:rsidR="008129FF" w:rsidRPr="00C24512">
        <w:rPr>
          <w:lang w:val="fr-FR"/>
        </w:rPr>
        <w:t>À cet égard, il expose que l</w:t>
      </w:r>
      <w:r w:rsidR="00D8245E" w:rsidRPr="00C24512">
        <w:rPr>
          <w:lang w:val="fr-FR"/>
        </w:rPr>
        <w:t xml:space="preserve">a requérante a obtenu la rectification de son prénom et de son sexe en 2003, après avoir complété son parcours de transition </w:t>
      </w:r>
      <w:r w:rsidR="006E0216" w:rsidRPr="00C24512">
        <w:rPr>
          <w:lang w:val="fr-FR"/>
        </w:rPr>
        <w:t>en se soumettant à la</w:t>
      </w:r>
      <w:r w:rsidR="00D8245E" w:rsidRPr="00C24512">
        <w:rPr>
          <w:lang w:val="fr-FR"/>
        </w:rPr>
        <w:t xml:space="preserve"> chirurgie autorisée par le tribunal. </w:t>
      </w:r>
      <w:r w:rsidR="008129FF" w:rsidRPr="00C24512">
        <w:rPr>
          <w:lang w:val="fr-FR"/>
        </w:rPr>
        <w:t>Aussi estime-t-il que</w:t>
      </w:r>
      <w:r w:rsidR="00D8245E" w:rsidRPr="00C24512">
        <w:rPr>
          <w:lang w:val="fr-FR"/>
        </w:rPr>
        <w:t xml:space="preserve"> les autorités </w:t>
      </w:r>
      <w:r w:rsidR="008129FF" w:rsidRPr="00C24512">
        <w:rPr>
          <w:lang w:val="fr-FR"/>
        </w:rPr>
        <w:t>ont</w:t>
      </w:r>
      <w:r w:rsidR="00D8245E" w:rsidRPr="00C24512">
        <w:rPr>
          <w:lang w:val="fr-FR"/>
        </w:rPr>
        <w:t xml:space="preserve"> respecté les dispositions de loi pertinentes</w:t>
      </w:r>
      <w:r w:rsidR="00417B5E" w:rsidRPr="00C24512">
        <w:rPr>
          <w:lang w:val="fr-FR"/>
        </w:rPr>
        <w:t xml:space="preserve"> en vigueur à l</w:t>
      </w:r>
      <w:r w:rsidR="00C24512" w:rsidRPr="00C24512">
        <w:rPr>
          <w:lang w:val="fr-FR"/>
        </w:rPr>
        <w:t>’</w:t>
      </w:r>
      <w:r w:rsidR="00417B5E" w:rsidRPr="00C24512">
        <w:rPr>
          <w:lang w:val="fr-FR"/>
        </w:rPr>
        <w:t>époque des fait</w:t>
      </w:r>
      <w:r w:rsidR="00762097" w:rsidRPr="00C24512">
        <w:rPr>
          <w:lang w:val="fr-FR"/>
        </w:rPr>
        <w:t>s</w:t>
      </w:r>
      <w:r w:rsidR="00417B5E" w:rsidRPr="00C24512">
        <w:rPr>
          <w:lang w:val="fr-FR"/>
        </w:rPr>
        <w:t xml:space="preserve"> de l</w:t>
      </w:r>
      <w:r w:rsidR="00C24512" w:rsidRPr="00C24512">
        <w:rPr>
          <w:lang w:val="fr-FR"/>
        </w:rPr>
        <w:t>’</w:t>
      </w:r>
      <w:r w:rsidR="00417B5E" w:rsidRPr="00C24512">
        <w:rPr>
          <w:lang w:val="fr-FR"/>
        </w:rPr>
        <w:t>espèce</w:t>
      </w:r>
      <w:r w:rsidR="0005515A" w:rsidRPr="00C24512">
        <w:rPr>
          <w:lang w:val="fr-FR"/>
        </w:rPr>
        <w:t xml:space="preserve"> et </w:t>
      </w:r>
      <w:r w:rsidR="008129FF" w:rsidRPr="00C24512">
        <w:rPr>
          <w:lang w:val="fr-FR"/>
        </w:rPr>
        <w:t>qu</w:t>
      </w:r>
      <w:r w:rsidR="00C24512" w:rsidRPr="00C24512">
        <w:rPr>
          <w:lang w:val="fr-FR"/>
        </w:rPr>
        <w:t>’</w:t>
      </w:r>
      <w:r w:rsidR="008129FF" w:rsidRPr="00C24512">
        <w:rPr>
          <w:lang w:val="fr-FR"/>
        </w:rPr>
        <w:t>elles ont</w:t>
      </w:r>
      <w:r w:rsidR="0005515A" w:rsidRPr="00C24512">
        <w:rPr>
          <w:lang w:val="fr-FR"/>
        </w:rPr>
        <w:t xml:space="preserve"> permis à</w:t>
      </w:r>
      <w:r w:rsidR="006E0216" w:rsidRPr="00C24512">
        <w:rPr>
          <w:lang w:val="fr-FR"/>
        </w:rPr>
        <w:t xml:space="preserve"> la requérante d</w:t>
      </w:r>
      <w:r w:rsidR="00C24512" w:rsidRPr="00C24512">
        <w:rPr>
          <w:lang w:val="fr-FR"/>
        </w:rPr>
        <w:t>’</w:t>
      </w:r>
      <w:r w:rsidR="006E0216" w:rsidRPr="00C24512">
        <w:rPr>
          <w:lang w:val="fr-FR"/>
        </w:rPr>
        <w:t>obtenir une reconnaissance de sa nouvelle identité sexuelle.</w:t>
      </w:r>
    </w:p>
    <w:p w:rsidR="00671DC4" w:rsidRPr="00C24512" w:rsidRDefault="00FD662B" w:rsidP="00C24512">
      <w:pPr>
        <w:pStyle w:val="ECHRPara"/>
        <w:keepNext/>
        <w:keepLines/>
        <w:rPr>
          <w:lang w:val="fr-FR"/>
        </w:rPr>
      </w:pPr>
      <w:r w:rsidRPr="00C24512">
        <w:rPr>
          <w:lang w:val="fr-FR"/>
        </w:rPr>
        <w:lastRenderedPageBreak/>
        <w:fldChar w:fldCharType="begin"/>
      </w:r>
      <w:r w:rsidRPr="00C24512">
        <w:rPr>
          <w:lang w:val="fr-FR"/>
        </w:rPr>
        <w:instrText xml:space="preserve"> SEQ level0 \*arabic </w:instrText>
      </w:r>
      <w:r w:rsidRPr="00C24512">
        <w:rPr>
          <w:lang w:val="fr-FR"/>
        </w:rPr>
        <w:fldChar w:fldCharType="separate"/>
      </w:r>
      <w:r w:rsidR="00C24512" w:rsidRPr="00C24512">
        <w:rPr>
          <w:noProof/>
          <w:lang w:val="fr-FR"/>
        </w:rPr>
        <w:t>50</w:t>
      </w:r>
      <w:r w:rsidRPr="00C24512">
        <w:rPr>
          <w:lang w:val="fr-FR"/>
        </w:rPr>
        <w:fldChar w:fldCharType="end"/>
      </w:r>
      <w:r w:rsidRPr="00C24512">
        <w:rPr>
          <w:lang w:val="fr-FR"/>
        </w:rPr>
        <w:t>.  </w:t>
      </w:r>
      <w:r w:rsidR="00F6357B" w:rsidRPr="00C24512">
        <w:rPr>
          <w:lang w:val="fr-FR"/>
        </w:rPr>
        <w:t>Enfin, l</w:t>
      </w:r>
      <w:r w:rsidR="00D8245E" w:rsidRPr="00C24512">
        <w:rPr>
          <w:lang w:val="fr-FR"/>
        </w:rPr>
        <w:t xml:space="preserve">e Gouvernement </w:t>
      </w:r>
      <w:r w:rsidR="00F6357B" w:rsidRPr="00C24512">
        <w:rPr>
          <w:lang w:val="fr-FR"/>
        </w:rPr>
        <w:t>argue</w:t>
      </w:r>
      <w:r w:rsidR="00D8245E" w:rsidRPr="00C24512">
        <w:rPr>
          <w:lang w:val="fr-FR"/>
        </w:rPr>
        <w:t xml:space="preserve"> </w:t>
      </w:r>
      <w:r w:rsidR="006E0216" w:rsidRPr="00C24512">
        <w:rPr>
          <w:lang w:val="fr-FR"/>
        </w:rPr>
        <w:t xml:space="preserve">que </w:t>
      </w:r>
      <w:r w:rsidR="00456DF6" w:rsidRPr="00C24512">
        <w:rPr>
          <w:lang w:val="fr-FR"/>
        </w:rPr>
        <w:t xml:space="preserve">la </w:t>
      </w:r>
      <w:r w:rsidR="006E0216" w:rsidRPr="00C24512">
        <w:rPr>
          <w:lang w:val="fr-FR"/>
        </w:rPr>
        <w:t>loi n</w:t>
      </w:r>
      <w:r w:rsidR="00671DC4" w:rsidRPr="00C24512">
        <w:rPr>
          <w:vertAlign w:val="superscript"/>
          <w:lang w:val="fr-FR"/>
        </w:rPr>
        <w:t>o</w:t>
      </w:r>
      <w:r w:rsidR="006E0216" w:rsidRPr="00C24512">
        <w:rPr>
          <w:lang w:val="fr-FR"/>
        </w:rPr>
        <w:t xml:space="preserve"> 164 de 1982 </w:t>
      </w:r>
      <w:r w:rsidR="00762097" w:rsidRPr="00C24512">
        <w:rPr>
          <w:lang w:val="fr-FR"/>
        </w:rPr>
        <w:t>prévoit</w:t>
      </w:r>
      <w:r w:rsidR="006E0216" w:rsidRPr="00C24512">
        <w:rPr>
          <w:lang w:val="fr-FR"/>
        </w:rPr>
        <w:t xml:space="preserve"> une procédure </w:t>
      </w:r>
      <w:r w:rsidR="00F6357B" w:rsidRPr="00C24512">
        <w:rPr>
          <w:lang w:val="fr-FR"/>
        </w:rPr>
        <w:t>à même</w:t>
      </w:r>
      <w:r w:rsidR="00762097" w:rsidRPr="00C24512">
        <w:rPr>
          <w:lang w:val="fr-FR"/>
        </w:rPr>
        <w:t xml:space="preserve"> de garantir</w:t>
      </w:r>
      <w:r w:rsidR="006E0216" w:rsidRPr="00C24512">
        <w:rPr>
          <w:lang w:val="fr-FR"/>
        </w:rPr>
        <w:t xml:space="preserve"> le respect de l</w:t>
      </w:r>
      <w:r w:rsidR="00C24512" w:rsidRPr="00C24512">
        <w:rPr>
          <w:lang w:val="fr-FR"/>
        </w:rPr>
        <w:t>’</w:t>
      </w:r>
      <w:r w:rsidR="006E0216" w:rsidRPr="00C24512">
        <w:rPr>
          <w:lang w:val="fr-FR"/>
        </w:rPr>
        <w:t>identité de genre de chacun</w:t>
      </w:r>
      <w:r w:rsidR="00F6357B" w:rsidRPr="00C24512">
        <w:rPr>
          <w:lang w:val="fr-FR"/>
        </w:rPr>
        <w:t>,</w:t>
      </w:r>
      <w:r w:rsidR="006E0216" w:rsidRPr="00C24512">
        <w:rPr>
          <w:lang w:val="fr-FR"/>
        </w:rPr>
        <w:t xml:space="preserve"> permettant </w:t>
      </w:r>
      <w:r w:rsidR="00F6357B" w:rsidRPr="00C24512">
        <w:rPr>
          <w:lang w:val="fr-FR"/>
        </w:rPr>
        <w:t xml:space="preserve">ainsi </w:t>
      </w:r>
      <w:r w:rsidR="006E0216" w:rsidRPr="00C24512">
        <w:rPr>
          <w:lang w:val="fr-FR"/>
        </w:rPr>
        <w:t>aux personnes transsexuelles d</w:t>
      </w:r>
      <w:r w:rsidR="00C24512" w:rsidRPr="00C24512">
        <w:rPr>
          <w:lang w:val="fr-FR"/>
        </w:rPr>
        <w:t>’</w:t>
      </w:r>
      <w:r w:rsidR="006E0216" w:rsidRPr="00C24512">
        <w:rPr>
          <w:lang w:val="fr-FR"/>
        </w:rPr>
        <w:t>obtenir la modification de leur état</w:t>
      </w:r>
      <w:r w:rsidR="00762097" w:rsidRPr="00C24512">
        <w:rPr>
          <w:lang w:val="fr-FR"/>
        </w:rPr>
        <w:t xml:space="preserve"> civil. </w:t>
      </w:r>
      <w:r w:rsidR="006E0216" w:rsidRPr="00C24512">
        <w:rPr>
          <w:lang w:val="fr-FR"/>
        </w:rPr>
        <w:t xml:space="preserve">Dès lors, </w:t>
      </w:r>
      <w:r w:rsidR="00F6357B" w:rsidRPr="00C24512">
        <w:rPr>
          <w:lang w:val="fr-FR"/>
        </w:rPr>
        <w:t xml:space="preserve">à ses yeux, </w:t>
      </w:r>
      <w:r w:rsidR="006E0216" w:rsidRPr="00C24512">
        <w:rPr>
          <w:lang w:val="fr-FR"/>
        </w:rPr>
        <w:t>la présente affaire n</w:t>
      </w:r>
      <w:r w:rsidR="00C24512" w:rsidRPr="00C24512">
        <w:rPr>
          <w:lang w:val="fr-FR"/>
        </w:rPr>
        <w:t>’</w:t>
      </w:r>
      <w:r w:rsidR="006E0216" w:rsidRPr="00C24512">
        <w:rPr>
          <w:lang w:val="fr-FR"/>
        </w:rPr>
        <w:t xml:space="preserve">est pas comparable aux affaires dans lesquelles les </w:t>
      </w:r>
      <w:r w:rsidR="001B2D81" w:rsidRPr="00C24512">
        <w:rPr>
          <w:lang w:val="fr-FR"/>
        </w:rPr>
        <w:t>États ont limité les droits garantis par l</w:t>
      </w:r>
      <w:r w:rsidR="00C24512" w:rsidRPr="00C24512">
        <w:rPr>
          <w:lang w:val="fr-FR"/>
        </w:rPr>
        <w:t>’</w:t>
      </w:r>
      <w:r w:rsidR="001B2D81" w:rsidRPr="00C24512">
        <w:rPr>
          <w:lang w:val="fr-FR"/>
        </w:rPr>
        <w:t xml:space="preserve">article 8 </w:t>
      </w:r>
      <w:r w:rsidR="00F6357B" w:rsidRPr="00C24512">
        <w:rPr>
          <w:lang w:val="fr-FR"/>
        </w:rPr>
        <w:t xml:space="preserve">de la Convention </w:t>
      </w:r>
      <w:r w:rsidR="001B2D81" w:rsidRPr="00C24512">
        <w:rPr>
          <w:lang w:val="fr-FR"/>
        </w:rPr>
        <w:t>en refusant de reconna</w:t>
      </w:r>
      <w:r w:rsidR="00F6357B" w:rsidRPr="00C24512">
        <w:rPr>
          <w:lang w:val="fr-FR"/>
        </w:rPr>
        <w:t>î</w:t>
      </w:r>
      <w:r w:rsidR="001B2D81" w:rsidRPr="00C24512">
        <w:rPr>
          <w:lang w:val="fr-FR"/>
        </w:rPr>
        <w:t>tre les nouvelles identités sexuelles de personnes qui s</w:t>
      </w:r>
      <w:r w:rsidR="00C24512" w:rsidRPr="00C24512">
        <w:rPr>
          <w:lang w:val="fr-FR"/>
        </w:rPr>
        <w:t>’</w:t>
      </w:r>
      <w:r w:rsidR="001B2D81" w:rsidRPr="00C24512">
        <w:rPr>
          <w:lang w:val="fr-FR"/>
        </w:rPr>
        <w:t>étaient soumis</w:t>
      </w:r>
      <w:r w:rsidR="00F6357B" w:rsidRPr="00C24512">
        <w:rPr>
          <w:lang w:val="fr-FR"/>
        </w:rPr>
        <w:t>es</w:t>
      </w:r>
      <w:r w:rsidR="001B2D81" w:rsidRPr="00C24512">
        <w:rPr>
          <w:lang w:val="fr-FR"/>
        </w:rPr>
        <w:t xml:space="preserve"> à la chirurgie génitale.</w:t>
      </w:r>
    </w:p>
    <w:p w:rsidR="005B5811" w:rsidRPr="00C24512" w:rsidRDefault="005B5811" w:rsidP="00C24512">
      <w:pPr>
        <w:pStyle w:val="ECHRHeading3"/>
        <w:rPr>
          <w:lang w:val="fr-FR"/>
        </w:rPr>
      </w:pPr>
      <w:r w:rsidRPr="00C24512">
        <w:rPr>
          <w:lang w:val="fr-FR"/>
        </w:rPr>
        <w:t>2.</w:t>
      </w:r>
      <w:r w:rsidR="00F145BE" w:rsidRPr="00C24512">
        <w:rPr>
          <w:lang w:val="fr-FR"/>
        </w:rPr>
        <w:t>  </w:t>
      </w:r>
      <w:r w:rsidR="00A25485" w:rsidRPr="00C24512">
        <w:rPr>
          <w:lang w:val="fr-FR"/>
        </w:rPr>
        <w:t>O</w:t>
      </w:r>
      <w:r w:rsidRPr="00C24512">
        <w:rPr>
          <w:lang w:val="fr-FR"/>
        </w:rPr>
        <w:t>bservations de</w:t>
      </w:r>
      <w:r w:rsidR="00F6357B" w:rsidRPr="00C24512">
        <w:rPr>
          <w:lang w:val="fr-FR"/>
        </w:rPr>
        <w:t>s</w:t>
      </w:r>
      <w:r w:rsidRPr="00C24512">
        <w:rPr>
          <w:lang w:val="fr-FR"/>
        </w:rPr>
        <w:t xml:space="preserve"> tierce</w:t>
      </w:r>
      <w:r w:rsidR="00F6357B" w:rsidRPr="00C24512">
        <w:rPr>
          <w:lang w:val="fr-FR"/>
        </w:rPr>
        <w:t>s</w:t>
      </w:r>
      <w:r w:rsidRPr="00C24512">
        <w:rPr>
          <w:lang w:val="fr-FR"/>
        </w:rPr>
        <w:t xml:space="preserve"> partie</w:t>
      </w:r>
      <w:r w:rsidR="00F6357B" w:rsidRPr="00C24512">
        <w:rPr>
          <w:lang w:val="fr-FR"/>
        </w:rPr>
        <w:t>s</w:t>
      </w:r>
    </w:p>
    <w:p w:rsidR="00F206B9" w:rsidRPr="00C24512" w:rsidRDefault="005B5811" w:rsidP="00C24512">
      <w:pPr>
        <w:pStyle w:val="ECHRPara"/>
        <w:rPr>
          <w:lang w:val="fr-FR"/>
        </w:rPr>
      </w:pPr>
      <w:r w:rsidRPr="00C24512">
        <w:fldChar w:fldCharType="begin"/>
      </w:r>
      <w:r w:rsidRPr="00C24512">
        <w:rPr>
          <w:lang w:val="fr-FR"/>
        </w:rPr>
        <w:instrText xml:space="preserve"> SEQ level0 \*arabic </w:instrText>
      </w:r>
      <w:r w:rsidRPr="00C24512">
        <w:fldChar w:fldCharType="separate"/>
      </w:r>
      <w:r w:rsidR="00C24512" w:rsidRPr="00C24512">
        <w:rPr>
          <w:noProof/>
          <w:lang w:val="fr-FR"/>
        </w:rPr>
        <w:t>51</w:t>
      </w:r>
      <w:r w:rsidRPr="00C24512">
        <w:fldChar w:fldCharType="end"/>
      </w:r>
      <w:r w:rsidRPr="00C24512">
        <w:rPr>
          <w:lang w:val="fr-FR"/>
        </w:rPr>
        <w:t>.  </w:t>
      </w:r>
      <w:r w:rsidR="00ED7D15" w:rsidRPr="00C24512">
        <w:rPr>
          <w:lang w:val="fr-FR"/>
        </w:rPr>
        <w:t xml:space="preserve">Les </w:t>
      </w:r>
      <w:r w:rsidR="00DA7DD3" w:rsidRPr="00C24512">
        <w:rPr>
          <w:lang w:val="fr-FR"/>
        </w:rPr>
        <w:t xml:space="preserve">tierces </w:t>
      </w:r>
      <w:r w:rsidR="00ED7D15" w:rsidRPr="00C24512">
        <w:rPr>
          <w:lang w:val="fr-FR"/>
        </w:rPr>
        <w:t xml:space="preserve">intervenantes, </w:t>
      </w:r>
      <w:r w:rsidR="00DA7DD3" w:rsidRPr="00C24512">
        <w:rPr>
          <w:lang w:val="fr-FR"/>
        </w:rPr>
        <w:t>les organisations</w:t>
      </w:r>
      <w:r w:rsidRPr="00C24512">
        <w:rPr>
          <w:lang w:val="fr-FR"/>
        </w:rPr>
        <w:t xml:space="preserve"> </w:t>
      </w:r>
      <w:r w:rsidR="002021F7" w:rsidRPr="00C24512">
        <w:rPr>
          <w:i/>
          <w:lang w:val="fr-FR"/>
        </w:rPr>
        <w:t xml:space="preserve">Alliance </w:t>
      </w:r>
      <w:proofErr w:type="spellStart"/>
      <w:r w:rsidR="002021F7" w:rsidRPr="00C24512">
        <w:rPr>
          <w:i/>
          <w:lang w:val="fr-FR"/>
        </w:rPr>
        <w:t>Defending</w:t>
      </w:r>
      <w:proofErr w:type="spellEnd"/>
      <w:r w:rsidR="002021F7" w:rsidRPr="00C24512">
        <w:rPr>
          <w:i/>
          <w:lang w:val="fr-FR"/>
        </w:rPr>
        <w:t xml:space="preserve"> </w:t>
      </w:r>
      <w:proofErr w:type="spellStart"/>
      <w:r w:rsidR="002021F7" w:rsidRPr="00C24512">
        <w:rPr>
          <w:i/>
          <w:lang w:val="fr-FR"/>
        </w:rPr>
        <w:t>Freedom</w:t>
      </w:r>
      <w:proofErr w:type="spellEnd"/>
      <w:r w:rsidR="002021F7" w:rsidRPr="00C24512">
        <w:rPr>
          <w:lang w:val="fr-FR"/>
        </w:rPr>
        <w:t xml:space="preserve"> </w:t>
      </w:r>
      <w:r w:rsidRPr="00C24512">
        <w:rPr>
          <w:lang w:val="fr-FR"/>
        </w:rPr>
        <w:t xml:space="preserve">et </w:t>
      </w:r>
      <w:proofErr w:type="spellStart"/>
      <w:r w:rsidRPr="00C24512">
        <w:rPr>
          <w:i/>
          <w:lang w:val="fr-FR"/>
        </w:rPr>
        <w:t>Unione</w:t>
      </w:r>
      <w:proofErr w:type="spellEnd"/>
      <w:r w:rsidRPr="00C24512">
        <w:rPr>
          <w:i/>
          <w:lang w:val="fr-FR"/>
        </w:rPr>
        <w:t xml:space="preserve"> </w:t>
      </w:r>
      <w:proofErr w:type="spellStart"/>
      <w:r w:rsidRPr="00C24512">
        <w:rPr>
          <w:i/>
          <w:lang w:val="fr-FR"/>
        </w:rPr>
        <w:t>Giuristi</w:t>
      </w:r>
      <w:proofErr w:type="spellEnd"/>
      <w:r w:rsidRPr="00C24512">
        <w:rPr>
          <w:i/>
          <w:lang w:val="fr-FR"/>
        </w:rPr>
        <w:t xml:space="preserve"> </w:t>
      </w:r>
      <w:proofErr w:type="spellStart"/>
      <w:r w:rsidRPr="00C24512">
        <w:rPr>
          <w:i/>
          <w:lang w:val="fr-FR"/>
        </w:rPr>
        <w:t>Cattolici</w:t>
      </w:r>
      <w:proofErr w:type="spellEnd"/>
      <w:r w:rsidRPr="00C24512">
        <w:rPr>
          <w:i/>
          <w:lang w:val="fr-FR"/>
        </w:rPr>
        <w:t xml:space="preserve"> </w:t>
      </w:r>
      <w:proofErr w:type="spellStart"/>
      <w:r w:rsidRPr="00C24512">
        <w:rPr>
          <w:i/>
          <w:lang w:val="fr-FR"/>
        </w:rPr>
        <w:t>Italiani</w:t>
      </w:r>
      <w:proofErr w:type="spellEnd"/>
      <w:r w:rsidR="00ED7D15" w:rsidRPr="00C24512">
        <w:rPr>
          <w:lang w:val="fr-FR"/>
        </w:rPr>
        <w:t xml:space="preserve">, </w:t>
      </w:r>
      <w:r w:rsidR="00DA7DD3" w:rsidRPr="00C24512">
        <w:rPr>
          <w:lang w:val="fr-FR"/>
        </w:rPr>
        <w:t>déclarent</w:t>
      </w:r>
      <w:r w:rsidR="00ED7D15" w:rsidRPr="00C24512">
        <w:rPr>
          <w:lang w:val="fr-FR"/>
        </w:rPr>
        <w:t xml:space="preserve"> que le </w:t>
      </w:r>
      <w:r w:rsidR="00766A1F" w:rsidRPr="00C24512">
        <w:rPr>
          <w:lang w:val="fr-FR"/>
        </w:rPr>
        <w:t>régime spécial prévu par la loi n</w:t>
      </w:r>
      <w:r w:rsidR="00671DC4" w:rsidRPr="00C24512">
        <w:rPr>
          <w:vertAlign w:val="superscript"/>
          <w:lang w:val="fr-FR"/>
        </w:rPr>
        <w:t>o</w:t>
      </w:r>
      <w:r w:rsidR="00766A1F" w:rsidRPr="00C24512">
        <w:rPr>
          <w:lang w:val="fr-FR"/>
        </w:rPr>
        <w:t xml:space="preserve"> 164 de 1982 pour l</w:t>
      </w:r>
      <w:r w:rsidR="00C24512" w:rsidRPr="00C24512">
        <w:rPr>
          <w:lang w:val="fr-FR"/>
        </w:rPr>
        <w:t>’</w:t>
      </w:r>
      <w:r w:rsidR="00766A1F" w:rsidRPr="00C24512">
        <w:rPr>
          <w:lang w:val="fr-FR"/>
        </w:rPr>
        <w:t xml:space="preserve">obtention du </w:t>
      </w:r>
      <w:r w:rsidR="002F5D4B" w:rsidRPr="00C24512">
        <w:rPr>
          <w:lang w:val="fr-FR"/>
        </w:rPr>
        <w:t>changement d</w:t>
      </w:r>
      <w:r w:rsidR="00C24512" w:rsidRPr="00C24512">
        <w:rPr>
          <w:lang w:val="fr-FR"/>
        </w:rPr>
        <w:t>’</w:t>
      </w:r>
      <w:r w:rsidR="002F5D4B" w:rsidRPr="00C24512">
        <w:rPr>
          <w:lang w:val="fr-FR"/>
        </w:rPr>
        <w:t xml:space="preserve">état civil </w:t>
      </w:r>
      <w:r w:rsidR="00B74ACD" w:rsidRPr="00C24512">
        <w:rPr>
          <w:lang w:val="fr-FR"/>
        </w:rPr>
        <w:t>des</w:t>
      </w:r>
      <w:r w:rsidR="00766A1F" w:rsidRPr="00C24512">
        <w:rPr>
          <w:lang w:val="fr-FR"/>
        </w:rPr>
        <w:t xml:space="preserve"> personnes transgenres n</w:t>
      </w:r>
      <w:r w:rsidR="00C24512" w:rsidRPr="00C24512">
        <w:rPr>
          <w:lang w:val="fr-FR"/>
        </w:rPr>
        <w:t>’</w:t>
      </w:r>
      <w:r w:rsidR="00766A1F" w:rsidRPr="00C24512">
        <w:rPr>
          <w:lang w:val="fr-FR"/>
        </w:rPr>
        <w:t xml:space="preserve">envisage pas la chirurgie comme </w:t>
      </w:r>
      <w:r w:rsidR="00B45663" w:rsidRPr="00C24512">
        <w:rPr>
          <w:lang w:val="fr-FR"/>
        </w:rPr>
        <w:t xml:space="preserve">une </w:t>
      </w:r>
      <w:r w:rsidR="00766A1F" w:rsidRPr="00C24512">
        <w:rPr>
          <w:lang w:val="fr-FR"/>
        </w:rPr>
        <w:t>condition nécessaire mais seulement comme l</w:t>
      </w:r>
      <w:r w:rsidR="00C24512" w:rsidRPr="00C24512">
        <w:rPr>
          <w:lang w:val="fr-FR"/>
        </w:rPr>
        <w:t>’</w:t>
      </w:r>
      <w:r w:rsidR="00766A1F" w:rsidRPr="00C24512">
        <w:rPr>
          <w:lang w:val="fr-FR"/>
        </w:rPr>
        <w:t xml:space="preserve">une des possibles options pouvant être préconisées dans </w:t>
      </w:r>
      <w:r w:rsidR="00B74ACD" w:rsidRPr="00C24512">
        <w:rPr>
          <w:lang w:val="fr-FR"/>
        </w:rPr>
        <w:t xml:space="preserve">le cadre du </w:t>
      </w:r>
      <w:r w:rsidR="002B5705" w:rsidRPr="00C24512">
        <w:rPr>
          <w:lang w:val="fr-FR"/>
        </w:rPr>
        <w:t xml:space="preserve">parcours de transition sexuelle de la personne </w:t>
      </w:r>
      <w:r w:rsidR="006F45B0" w:rsidRPr="00C24512">
        <w:rPr>
          <w:lang w:val="fr-FR"/>
        </w:rPr>
        <w:t>concern</w:t>
      </w:r>
      <w:r w:rsidR="002B5705" w:rsidRPr="00C24512">
        <w:rPr>
          <w:lang w:val="fr-FR"/>
        </w:rPr>
        <w:t>ée. Ainsi, il appartien</w:t>
      </w:r>
      <w:r w:rsidR="00DA7DD3" w:rsidRPr="00C24512">
        <w:rPr>
          <w:lang w:val="fr-FR"/>
        </w:rPr>
        <w:t>drai</w:t>
      </w:r>
      <w:r w:rsidR="002B5705" w:rsidRPr="00C24512">
        <w:rPr>
          <w:lang w:val="fr-FR"/>
        </w:rPr>
        <w:t xml:space="preserve">t aux </w:t>
      </w:r>
      <w:r w:rsidR="00883F5D" w:rsidRPr="00C24512">
        <w:rPr>
          <w:lang w:val="fr-FR"/>
        </w:rPr>
        <w:t>autorités judiciaires</w:t>
      </w:r>
      <w:r w:rsidR="002B5705" w:rsidRPr="00C24512">
        <w:rPr>
          <w:lang w:val="fr-FR"/>
        </w:rPr>
        <w:t xml:space="preserve"> internes de décider au</w:t>
      </w:r>
      <w:r w:rsidR="002F5D4B" w:rsidRPr="00C24512">
        <w:rPr>
          <w:lang w:val="fr-FR"/>
        </w:rPr>
        <w:t xml:space="preserve"> cas par cas</w:t>
      </w:r>
      <w:r w:rsidR="00F206B9" w:rsidRPr="00C24512">
        <w:rPr>
          <w:lang w:val="fr-FR"/>
        </w:rPr>
        <w:t>.</w:t>
      </w:r>
    </w:p>
    <w:p w:rsidR="002F5D4B" w:rsidRPr="00C24512" w:rsidRDefault="00FD662B" w:rsidP="00C24512">
      <w:pPr>
        <w:pStyle w:val="ECHRPara"/>
        <w:rPr>
          <w:lang w:val="fr-FR"/>
        </w:rPr>
      </w:pPr>
      <w:r w:rsidRPr="00C24512">
        <w:rPr>
          <w:lang w:val="fr-FR"/>
        </w:rPr>
        <w:fldChar w:fldCharType="begin"/>
      </w:r>
      <w:r w:rsidRPr="00C24512">
        <w:rPr>
          <w:lang w:val="fr-FR"/>
        </w:rPr>
        <w:instrText xml:space="preserve"> SEQ level0 \*arabic </w:instrText>
      </w:r>
      <w:r w:rsidRPr="00C24512">
        <w:rPr>
          <w:lang w:val="fr-FR"/>
        </w:rPr>
        <w:fldChar w:fldCharType="separate"/>
      </w:r>
      <w:r w:rsidR="00C24512" w:rsidRPr="00C24512">
        <w:rPr>
          <w:noProof/>
          <w:lang w:val="fr-FR"/>
        </w:rPr>
        <w:t>52</w:t>
      </w:r>
      <w:r w:rsidRPr="00C24512">
        <w:rPr>
          <w:lang w:val="fr-FR"/>
        </w:rPr>
        <w:fldChar w:fldCharType="end"/>
      </w:r>
      <w:r w:rsidRPr="00C24512">
        <w:rPr>
          <w:lang w:val="fr-FR"/>
        </w:rPr>
        <w:t>.  </w:t>
      </w:r>
      <w:r w:rsidR="002F5D4B" w:rsidRPr="00C24512">
        <w:rPr>
          <w:lang w:val="fr-FR"/>
        </w:rPr>
        <w:t xml:space="preserve">Les </w:t>
      </w:r>
      <w:r w:rsidR="00DA7DD3" w:rsidRPr="00C24512">
        <w:rPr>
          <w:lang w:val="fr-FR"/>
        </w:rPr>
        <w:t xml:space="preserve">tierces </w:t>
      </w:r>
      <w:r w:rsidR="003A1676" w:rsidRPr="00C24512">
        <w:rPr>
          <w:lang w:val="fr-FR"/>
        </w:rPr>
        <w:t xml:space="preserve">intervenantes considèrent </w:t>
      </w:r>
      <w:r w:rsidR="00F206B9" w:rsidRPr="00C24512">
        <w:rPr>
          <w:lang w:val="fr-FR"/>
        </w:rPr>
        <w:t>qu</w:t>
      </w:r>
      <w:r w:rsidR="008027B5" w:rsidRPr="00C24512">
        <w:rPr>
          <w:lang w:val="fr-FR"/>
        </w:rPr>
        <w:t>e le fait d</w:t>
      </w:r>
      <w:r w:rsidR="00C24512" w:rsidRPr="00C24512">
        <w:rPr>
          <w:lang w:val="fr-FR"/>
        </w:rPr>
        <w:t>’</w:t>
      </w:r>
      <w:r w:rsidR="00F206B9" w:rsidRPr="00C24512">
        <w:rPr>
          <w:lang w:val="fr-FR"/>
        </w:rPr>
        <w:t xml:space="preserve">empêcher les États </w:t>
      </w:r>
      <w:r w:rsidR="00174000" w:rsidRPr="00C24512">
        <w:rPr>
          <w:lang w:val="fr-FR"/>
        </w:rPr>
        <w:t>d</w:t>
      </w:r>
      <w:r w:rsidR="00C24512" w:rsidRPr="00C24512">
        <w:rPr>
          <w:lang w:val="fr-FR"/>
        </w:rPr>
        <w:t>’</w:t>
      </w:r>
      <w:r w:rsidR="00174000" w:rsidRPr="00C24512">
        <w:rPr>
          <w:lang w:val="fr-FR"/>
        </w:rPr>
        <w:t>établir des</w:t>
      </w:r>
      <w:r w:rsidR="00F206B9" w:rsidRPr="00C24512">
        <w:rPr>
          <w:lang w:val="fr-FR"/>
        </w:rPr>
        <w:t xml:space="preserve"> critères objectifs </w:t>
      </w:r>
      <w:r w:rsidR="00DA7DD3" w:rsidRPr="00C24512">
        <w:rPr>
          <w:lang w:val="fr-FR"/>
        </w:rPr>
        <w:t xml:space="preserve">à prendre en </w:t>
      </w:r>
      <w:r w:rsidR="00174000" w:rsidRPr="00C24512">
        <w:rPr>
          <w:lang w:val="fr-FR"/>
        </w:rPr>
        <w:t>compte dans</w:t>
      </w:r>
      <w:r w:rsidR="00F206B9" w:rsidRPr="00C24512">
        <w:rPr>
          <w:lang w:val="fr-FR"/>
        </w:rPr>
        <w:t xml:space="preserve"> ce type de procédures reviendrait à conférer aux individus un </w:t>
      </w:r>
      <w:r w:rsidR="003A1676" w:rsidRPr="00C24512">
        <w:rPr>
          <w:lang w:val="fr-FR"/>
        </w:rPr>
        <w:t>pouvoir d</w:t>
      </w:r>
      <w:r w:rsidR="00C24512" w:rsidRPr="00C24512">
        <w:rPr>
          <w:lang w:val="fr-FR"/>
        </w:rPr>
        <w:t>’</w:t>
      </w:r>
      <w:r w:rsidR="003A1676" w:rsidRPr="00C24512">
        <w:rPr>
          <w:lang w:val="fr-FR"/>
        </w:rPr>
        <w:t xml:space="preserve">autodétermination </w:t>
      </w:r>
      <w:r w:rsidR="00F206B9" w:rsidRPr="00C24512">
        <w:rPr>
          <w:lang w:val="fr-FR"/>
        </w:rPr>
        <w:t xml:space="preserve">incompatible avec les intérêts </w:t>
      </w:r>
      <w:r w:rsidR="00DA7DD3" w:rsidRPr="00C24512">
        <w:rPr>
          <w:lang w:val="fr-FR"/>
        </w:rPr>
        <w:t>d</w:t>
      </w:r>
      <w:r w:rsidR="00C24512" w:rsidRPr="00C24512">
        <w:rPr>
          <w:lang w:val="fr-FR"/>
        </w:rPr>
        <w:t>’</w:t>
      </w:r>
      <w:r w:rsidR="00F206B9" w:rsidRPr="00C24512">
        <w:rPr>
          <w:lang w:val="fr-FR"/>
        </w:rPr>
        <w:t>autrui.</w:t>
      </w:r>
    </w:p>
    <w:p w:rsidR="005B5811" w:rsidRPr="00C24512" w:rsidRDefault="00174000" w:rsidP="00C24512">
      <w:pPr>
        <w:pStyle w:val="ECHRPara"/>
        <w:rPr>
          <w:lang w:val="fr-FR"/>
        </w:rPr>
      </w:pPr>
      <w:r w:rsidRPr="00C24512">
        <w:rPr>
          <w:lang w:val="fr-FR"/>
        </w:rPr>
        <w:fldChar w:fldCharType="begin"/>
      </w:r>
      <w:r w:rsidRPr="00C24512">
        <w:rPr>
          <w:lang w:val="fr-FR"/>
        </w:rPr>
        <w:instrText xml:space="preserve"> SEQ level0 \*arabic </w:instrText>
      </w:r>
      <w:r w:rsidRPr="00C24512">
        <w:rPr>
          <w:lang w:val="fr-FR"/>
        </w:rPr>
        <w:fldChar w:fldCharType="separate"/>
      </w:r>
      <w:r w:rsidR="00C24512" w:rsidRPr="00C24512">
        <w:rPr>
          <w:noProof/>
          <w:lang w:val="fr-FR"/>
        </w:rPr>
        <w:t>53</w:t>
      </w:r>
      <w:r w:rsidRPr="00C24512">
        <w:rPr>
          <w:lang w:val="fr-FR"/>
        </w:rPr>
        <w:fldChar w:fldCharType="end"/>
      </w:r>
      <w:r w:rsidRPr="00C24512">
        <w:rPr>
          <w:lang w:val="fr-FR"/>
        </w:rPr>
        <w:t>.  </w:t>
      </w:r>
      <w:r w:rsidR="002B5705" w:rsidRPr="00C24512">
        <w:rPr>
          <w:lang w:val="fr-FR"/>
        </w:rPr>
        <w:t xml:space="preserve">Elles </w:t>
      </w:r>
      <w:r w:rsidR="008B51B4" w:rsidRPr="00C24512">
        <w:rPr>
          <w:lang w:val="fr-FR"/>
        </w:rPr>
        <w:t>expos</w:t>
      </w:r>
      <w:r w:rsidR="00635F2D" w:rsidRPr="00C24512">
        <w:rPr>
          <w:lang w:val="fr-FR"/>
        </w:rPr>
        <w:t>ent</w:t>
      </w:r>
      <w:r w:rsidR="002B5705" w:rsidRPr="00C24512">
        <w:rPr>
          <w:lang w:val="fr-FR"/>
        </w:rPr>
        <w:t xml:space="preserve"> que la jurisprudence de la Cour dans le domaine de la reconnaissance de l</w:t>
      </w:r>
      <w:r w:rsidR="00C24512" w:rsidRPr="00C24512">
        <w:rPr>
          <w:lang w:val="fr-FR"/>
        </w:rPr>
        <w:t>’</w:t>
      </w:r>
      <w:r w:rsidR="002B5705" w:rsidRPr="00C24512">
        <w:rPr>
          <w:lang w:val="fr-FR"/>
        </w:rPr>
        <w:t>identité de genre est centrée sur la légalité des restrictions</w:t>
      </w:r>
      <w:r w:rsidR="00635F2D" w:rsidRPr="00C24512">
        <w:rPr>
          <w:lang w:val="fr-FR"/>
        </w:rPr>
        <w:t xml:space="preserve"> qui</w:t>
      </w:r>
      <w:r w:rsidR="002B5705" w:rsidRPr="00C24512">
        <w:rPr>
          <w:lang w:val="fr-FR"/>
        </w:rPr>
        <w:t xml:space="preserve"> y </w:t>
      </w:r>
      <w:r w:rsidR="00635F2D" w:rsidRPr="00C24512">
        <w:rPr>
          <w:lang w:val="fr-FR"/>
        </w:rPr>
        <w:t>font</w:t>
      </w:r>
      <w:r w:rsidR="002B5705" w:rsidRPr="00C24512">
        <w:rPr>
          <w:lang w:val="fr-FR"/>
        </w:rPr>
        <w:t xml:space="preserve"> obstacle, la Cour jugeant avec constance qu</w:t>
      </w:r>
      <w:r w:rsidR="00C24512" w:rsidRPr="00C24512">
        <w:rPr>
          <w:lang w:val="fr-FR"/>
        </w:rPr>
        <w:t>’</w:t>
      </w:r>
      <w:r w:rsidR="002B5705" w:rsidRPr="00C24512">
        <w:rPr>
          <w:lang w:val="fr-FR"/>
        </w:rPr>
        <w:t>il appartient aux États de définir les méca</w:t>
      </w:r>
      <w:r w:rsidR="002F5D4B" w:rsidRPr="00C24512">
        <w:rPr>
          <w:lang w:val="fr-FR"/>
        </w:rPr>
        <w:t>nismes de cette reconnaissance en tenant compte des différents intérêts en jeu.</w:t>
      </w:r>
      <w:r w:rsidR="00F206B9" w:rsidRPr="00C24512">
        <w:rPr>
          <w:lang w:val="fr-FR"/>
        </w:rPr>
        <w:t xml:space="preserve"> </w:t>
      </w:r>
      <w:r w:rsidR="002B5705" w:rsidRPr="00C24512">
        <w:rPr>
          <w:lang w:val="fr-FR"/>
        </w:rPr>
        <w:t xml:space="preserve">Elles ajoutent que cela pose des questions fondamentales de définitions, </w:t>
      </w:r>
      <w:r w:rsidR="00635F2D" w:rsidRPr="00C24512">
        <w:rPr>
          <w:lang w:val="fr-FR"/>
        </w:rPr>
        <w:t>qui</w:t>
      </w:r>
      <w:r w:rsidR="00691E65" w:rsidRPr="00C24512">
        <w:rPr>
          <w:lang w:val="fr-FR"/>
        </w:rPr>
        <w:t xml:space="preserve"> </w:t>
      </w:r>
      <w:r w:rsidR="002B5705" w:rsidRPr="00C24512">
        <w:rPr>
          <w:lang w:val="fr-FR"/>
        </w:rPr>
        <w:t>ont des ramifications dans les domaines de l</w:t>
      </w:r>
      <w:r w:rsidR="00C24512" w:rsidRPr="00C24512">
        <w:rPr>
          <w:lang w:val="fr-FR"/>
        </w:rPr>
        <w:t>’</w:t>
      </w:r>
      <w:r w:rsidR="002B5705" w:rsidRPr="00C24512">
        <w:rPr>
          <w:lang w:val="fr-FR"/>
        </w:rPr>
        <w:t>éthique, de la psychologie et de la science médicale</w:t>
      </w:r>
      <w:r w:rsidR="00635F2D" w:rsidRPr="00C24512">
        <w:rPr>
          <w:lang w:val="fr-FR"/>
        </w:rPr>
        <w:t>, et pour lesquelles</w:t>
      </w:r>
      <w:r w:rsidR="00691E65" w:rsidRPr="00C24512">
        <w:rPr>
          <w:lang w:val="fr-FR"/>
        </w:rPr>
        <w:t xml:space="preserve"> </w:t>
      </w:r>
      <w:r w:rsidR="002B5705" w:rsidRPr="00C24512">
        <w:rPr>
          <w:lang w:val="fr-FR"/>
        </w:rPr>
        <w:t>une large marge d</w:t>
      </w:r>
      <w:r w:rsidR="00C24512" w:rsidRPr="00C24512">
        <w:rPr>
          <w:lang w:val="fr-FR"/>
        </w:rPr>
        <w:t>’</w:t>
      </w:r>
      <w:r w:rsidR="002B5705" w:rsidRPr="00C24512">
        <w:rPr>
          <w:lang w:val="fr-FR"/>
        </w:rPr>
        <w:t xml:space="preserve">appréciation </w:t>
      </w:r>
      <w:r w:rsidR="00635F2D" w:rsidRPr="00C24512">
        <w:rPr>
          <w:lang w:val="fr-FR"/>
        </w:rPr>
        <w:t xml:space="preserve">doit être allouée </w:t>
      </w:r>
      <w:r w:rsidR="002B5705" w:rsidRPr="00C24512">
        <w:rPr>
          <w:lang w:val="fr-FR"/>
        </w:rPr>
        <w:t>aux États. Elle</w:t>
      </w:r>
      <w:r w:rsidR="00691E65" w:rsidRPr="00C24512">
        <w:rPr>
          <w:lang w:val="fr-FR"/>
        </w:rPr>
        <w:t>s</w:t>
      </w:r>
      <w:r w:rsidR="002B5705" w:rsidRPr="00C24512">
        <w:rPr>
          <w:lang w:val="fr-FR"/>
        </w:rPr>
        <w:t xml:space="preserve"> </w:t>
      </w:r>
      <w:r w:rsidR="00853915" w:rsidRPr="00C24512">
        <w:rPr>
          <w:lang w:val="fr-FR"/>
        </w:rPr>
        <w:t>indiquen</w:t>
      </w:r>
      <w:r w:rsidR="00691E65" w:rsidRPr="00C24512">
        <w:rPr>
          <w:lang w:val="fr-FR"/>
        </w:rPr>
        <w:t>t</w:t>
      </w:r>
      <w:r w:rsidR="002B5705" w:rsidRPr="00C24512">
        <w:rPr>
          <w:lang w:val="fr-FR"/>
        </w:rPr>
        <w:t xml:space="preserve"> que la manière dont les États répondent à la question du transsexualisme varie de l</w:t>
      </w:r>
      <w:r w:rsidR="00C24512" w:rsidRPr="00C24512">
        <w:rPr>
          <w:lang w:val="fr-FR"/>
        </w:rPr>
        <w:t>’</w:t>
      </w:r>
      <w:r w:rsidR="002B5705" w:rsidRPr="00C24512">
        <w:rPr>
          <w:lang w:val="fr-FR"/>
        </w:rPr>
        <w:t>un à l</w:t>
      </w:r>
      <w:r w:rsidR="00C24512" w:rsidRPr="00C24512">
        <w:rPr>
          <w:lang w:val="fr-FR"/>
        </w:rPr>
        <w:t>’</w:t>
      </w:r>
      <w:r w:rsidR="002B5705" w:rsidRPr="00C24512">
        <w:rPr>
          <w:lang w:val="fr-FR"/>
        </w:rPr>
        <w:t>autre, en fonction des spécificités de chaque environnement national</w:t>
      </w:r>
      <w:r w:rsidR="00691E65" w:rsidRPr="00C24512">
        <w:rPr>
          <w:lang w:val="fr-FR"/>
        </w:rPr>
        <w:t xml:space="preserve"> : selon elles, </w:t>
      </w:r>
      <w:r w:rsidR="002B5705" w:rsidRPr="00C24512">
        <w:rPr>
          <w:lang w:val="fr-FR"/>
        </w:rPr>
        <w:t xml:space="preserve">chaque État définit des règles visant à </w:t>
      </w:r>
      <w:r w:rsidR="00691E65" w:rsidRPr="00C24512">
        <w:rPr>
          <w:lang w:val="fr-FR"/>
        </w:rPr>
        <w:t>l</w:t>
      </w:r>
      <w:r w:rsidR="00C24512" w:rsidRPr="00C24512">
        <w:rPr>
          <w:lang w:val="fr-FR"/>
        </w:rPr>
        <w:t>’</w:t>
      </w:r>
      <w:r w:rsidR="00691E65" w:rsidRPr="00C24512">
        <w:rPr>
          <w:lang w:val="fr-FR"/>
        </w:rPr>
        <w:t>obtention d</w:t>
      </w:r>
      <w:r w:rsidR="00C24512" w:rsidRPr="00C24512">
        <w:rPr>
          <w:lang w:val="fr-FR"/>
        </w:rPr>
        <w:t>’</w:t>
      </w:r>
      <w:r w:rsidR="002B5705" w:rsidRPr="00C24512">
        <w:rPr>
          <w:lang w:val="fr-FR"/>
        </w:rPr>
        <w:t>un équilibre entre les intérêts privés et les intérêts publics concurrents qui se présentent en son sein. D</w:t>
      </w:r>
      <w:r w:rsidR="00C24512" w:rsidRPr="00C24512">
        <w:rPr>
          <w:lang w:val="fr-FR"/>
        </w:rPr>
        <w:t>’</w:t>
      </w:r>
      <w:r w:rsidR="002B5705" w:rsidRPr="00C24512">
        <w:rPr>
          <w:lang w:val="fr-FR"/>
        </w:rPr>
        <w:t xml:space="preserve">après </w:t>
      </w:r>
      <w:r w:rsidR="00470312" w:rsidRPr="00C24512">
        <w:rPr>
          <w:lang w:val="fr-FR"/>
        </w:rPr>
        <w:t>les tierces intervenantes</w:t>
      </w:r>
      <w:r w:rsidR="002B5705" w:rsidRPr="00C24512">
        <w:rPr>
          <w:lang w:val="fr-FR"/>
        </w:rPr>
        <w:t>, cette approche est confortée par la grande divergence qui caractérise les choix légaux des États membres sur cette question.</w:t>
      </w:r>
    </w:p>
    <w:p w:rsidR="005B5811" w:rsidRPr="00C24512" w:rsidRDefault="00F145BE" w:rsidP="00C24512">
      <w:pPr>
        <w:pStyle w:val="ECHRHeading3"/>
        <w:rPr>
          <w:lang w:val="fr-FR"/>
        </w:rPr>
      </w:pPr>
      <w:r w:rsidRPr="00C24512">
        <w:rPr>
          <w:lang w:val="fr-FR"/>
        </w:rPr>
        <w:lastRenderedPageBreak/>
        <w:t>3.  </w:t>
      </w:r>
      <w:r w:rsidR="005B5811" w:rsidRPr="00C24512">
        <w:rPr>
          <w:lang w:val="fr-FR"/>
        </w:rPr>
        <w:t>Appréciation de la Cour</w:t>
      </w:r>
    </w:p>
    <w:p w:rsidR="00671DC4" w:rsidRPr="00C24512" w:rsidRDefault="005B5811" w:rsidP="00C24512">
      <w:pPr>
        <w:pStyle w:val="ECHRHeading4"/>
        <w:rPr>
          <w:rFonts w:eastAsiaTheme="minorHAnsi"/>
          <w:lang w:val="fr-FR"/>
        </w:rPr>
      </w:pPr>
      <w:r w:rsidRPr="00C24512">
        <w:rPr>
          <w:rFonts w:eastAsiaTheme="minorHAnsi"/>
          <w:lang w:val="fr-FR"/>
        </w:rPr>
        <w:t>a)</w:t>
      </w:r>
      <w:r w:rsidR="00F145BE" w:rsidRPr="00C24512">
        <w:rPr>
          <w:rFonts w:eastAsiaTheme="minorHAnsi"/>
          <w:lang w:val="fr-FR"/>
        </w:rPr>
        <w:t> </w:t>
      </w:r>
      <w:r w:rsidR="00842DE9" w:rsidRPr="00C24512">
        <w:rPr>
          <w:rFonts w:eastAsiaTheme="minorHAnsi"/>
          <w:lang w:val="fr-FR"/>
        </w:rPr>
        <w:t> </w:t>
      </w:r>
      <w:r w:rsidRPr="00C24512">
        <w:rPr>
          <w:rFonts w:eastAsiaTheme="minorHAnsi"/>
          <w:lang w:val="fr-FR"/>
        </w:rPr>
        <w:t>Sur l</w:t>
      </w:r>
      <w:r w:rsidR="00C24512" w:rsidRPr="00C24512">
        <w:rPr>
          <w:rFonts w:eastAsiaTheme="minorHAnsi"/>
          <w:lang w:val="fr-FR"/>
        </w:rPr>
        <w:t>’</w:t>
      </w:r>
      <w:r w:rsidRPr="00C24512">
        <w:rPr>
          <w:rFonts w:eastAsiaTheme="minorHAnsi"/>
          <w:lang w:val="fr-FR"/>
        </w:rPr>
        <w:t>applicabilité de l</w:t>
      </w:r>
      <w:r w:rsidR="00C24512" w:rsidRPr="00C24512">
        <w:rPr>
          <w:rFonts w:eastAsiaTheme="minorHAnsi"/>
          <w:lang w:val="fr-FR"/>
        </w:rPr>
        <w:t>’</w:t>
      </w:r>
      <w:r w:rsidRPr="00C24512">
        <w:rPr>
          <w:rFonts w:eastAsiaTheme="minorHAnsi"/>
          <w:lang w:val="fr-FR"/>
        </w:rPr>
        <w:t>article 8</w:t>
      </w:r>
      <w:r w:rsidR="00A25485" w:rsidRPr="00C24512">
        <w:rPr>
          <w:rFonts w:eastAsiaTheme="minorHAnsi"/>
          <w:lang w:val="fr-FR"/>
        </w:rPr>
        <w:t xml:space="preserve"> de la Convention</w:t>
      </w:r>
    </w:p>
    <w:p w:rsidR="005B5811" w:rsidRPr="00C24512" w:rsidRDefault="005B5811" w:rsidP="00C24512">
      <w:pPr>
        <w:pStyle w:val="ECHRPara"/>
        <w:keepNext/>
        <w:keepLines/>
        <w:rPr>
          <w:lang w:val="fr-FR"/>
        </w:rPr>
      </w:pPr>
      <w:r w:rsidRPr="00C24512">
        <w:fldChar w:fldCharType="begin"/>
      </w:r>
      <w:r w:rsidRPr="00C24512">
        <w:rPr>
          <w:lang w:val="fr-FR"/>
        </w:rPr>
        <w:instrText xml:space="preserve"> SEQ level0 \*arabic </w:instrText>
      </w:r>
      <w:r w:rsidRPr="00C24512">
        <w:fldChar w:fldCharType="separate"/>
      </w:r>
      <w:r w:rsidR="00C24512" w:rsidRPr="00C24512">
        <w:rPr>
          <w:noProof/>
          <w:lang w:val="fr-FR"/>
        </w:rPr>
        <w:t>54</w:t>
      </w:r>
      <w:r w:rsidRPr="00C24512">
        <w:fldChar w:fldCharType="end"/>
      </w:r>
      <w:r w:rsidRPr="00C24512">
        <w:rPr>
          <w:lang w:val="fr-FR"/>
        </w:rPr>
        <w:t xml:space="preserve">.  La Cour </w:t>
      </w:r>
      <w:r w:rsidR="00D111BF" w:rsidRPr="00C24512">
        <w:rPr>
          <w:lang w:val="fr-FR"/>
        </w:rPr>
        <w:t xml:space="preserve">rappelle </w:t>
      </w:r>
      <w:r w:rsidRPr="00C24512">
        <w:rPr>
          <w:lang w:val="fr-FR"/>
        </w:rPr>
        <w:t>que la notion de « vie privée » est une notion large, non susceptible d</w:t>
      </w:r>
      <w:r w:rsidR="00C24512" w:rsidRPr="00C24512">
        <w:rPr>
          <w:lang w:val="fr-FR"/>
        </w:rPr>
        <w:t>’</w:t>
      </w:r>
      <w:r w:rsidRPr="00C24512">
        <w:rPr>
          <w:lang w:val="fr-FR"/>
        </w:rPr>
        <w:t>une définition exhaustive, qui recouvre non seulement l</w:t>
      </w:r>
      <w:r w:rsidR="00C24512" w:rsidRPr="00C24512">
        <w:rPr>
          <w:lang w:val="fr-FR"/>
        </w:rPr>
        <w:t>’</w:t>
      </w:r>
      <w:r w:rsidRPr="00C24512">
        <w:rPr>
          <w:lang w:val="fr-FR"/>
        </w:rPr>
        <w:t>intégrité physique et morale de l</w:t>
      </w:r>
      <w:r w:rsidR="00C24512" w:rsidRPr="00C24512">
        <w:rPr>
          <w:lang w:val="fr-FR"/>
        </w:rPr>
        <w:t>’</w:t>
      </w:r>
      <w:r w:rsidRPr="00C24512">
        <w:rPr>
          <w:lang w:val="fr-FR"/>
        </w:rPr>
        <w:t>individu, mais aussi parfois des aspects de l</w:t>
      </w:r>
      <w:r w:rsidR="00C24512" w:rsidRPr="00C24512">
        <w:rPr>
          <w:lang w:val="fr-FR"/>
        </w:rPr>
        <w:t>’</w:t>
      </w:r>
      <w:r w:rsidRPr="00C24512">
        <w:rPr>
          <w:lang w:val="fr-FR"/>
        </w:rPr>
        <w:t>identité physique et sociale de celui-ci. Des éléments tels que, par exemple, l</w:t>
      </w:r>
      <w:r w:rsidR="00C24512" w:rsidRPr="00C24512">
        <w:rPr>
          <w:lang w:val="fr-FR"/>
        </w:rPr>
        <w:t>’</w:t>
      </w:r>
      <w:r w:rsidRPr="00C24512">
        <w:rPr>
          <w:lang w:val="fr-FR"/>
        </w:rPr>
        <w:t>identité ou l</w:t>
      </w:r>
      <w:r w:rsidR="00C24512" w:rsidRPr="00C24512">
        <w:rPr>
          <w:lang w:val="fr-FR"/>
        </w:rPr>
        <w:t>’</w:t>
      </w:r>
      <w:r w:rsidRPr="00C24512">
        <w:rPr>
          <w:lang w:val="fr-FR"/>
        </w:rPr>
        <w:t>identification sexuelle, le nom, l</w:t>
      </w:r>
      <w:r w:rsidR="00C24512" w:rsidRPr="00C24512">
        <w:rPr>
          <w:lang w:val="fr-FR"/>
        </w:rPr>
        <w:t>’</w:t>
      </w:r>
      <w:r w:rsidRPr="00C24512">
        <w:rPr>
          <w:lang w:val="fr-FR"/>
        </w:rPr>
        <w:t>orientation sexuelle et la vie sexuelle relèvent de la sphère personnelle protégée par l</w:t>
      </w:r>
      <w:r w:rsidR="00C24512" w:rsidRPr="00C24512">
        <w:rPr>
          <w:lang w:val="fr-FR"/>
        </w:rPr>
        <w:t>’</w:t>
      </w:r>
      <w:r w:rsidRPr="00C24512">
        <w:rPr>
          <w:lang w:val="fr-FR"/>
        </w:rPr>
        <w:t xml:space="preserve">article 8 de la Convention (voir, notamment, </w:t>
      </w:r>
      <w:r w:rsidRPr="00C24512">
        <w:rPr>
          <w:i/>
          <w:lang w:val="fr-FR"/>
        </w:rPr>
        <w:t xml:space="preserve">Van </w:t>
      </w:r>
      <w:proofErr w:type="spellStart"/>
      <w:r w:rsidRPr="00C24512">
        <w:rPr>
          <w:i/>
          <w:lang w:val="fr-FR"/>
        </w:rPr>
        <w:t>Kück</w:t>
      </w:r>
      <w:proofErr w:type="spellEnd"/>
      <w:r w:rsidRPr="00C24512">
        <w:rPr>
          <w:i/>
          <w:lang w:val="fr-FR"/>
        </w:rPr>
        <w:t xml:space="preserve"> c. Allemagne</w:t>
      </w:r>
      <w:r w:rsidRPr="00C24512">
        <w:rPr>
          <w:lang w:val="fr-FR"/>
        </w:rPr>
        <w:t>, n</w:t>
      </w:r>
      <w:r w:rsidRPr="00C24512">
        <w:rPr>
          <w:vertAlign w:val="superscript"/>
          <w:lang w:val="fr-FR"/>
        </w:rPr>
        <w:t>o</w:t>
      </w:r>
      <w:r w:rsidR="00D111BF" w:rsidRPr="00C24512">
        <w:rPr>
          <w:lang w:val="fr-FR"/>
        </w:rPr>
        <w:t> </w:t>
      </w:r>
      <w:r w:rsidRPr="00C24512">
        <w:rPr>
          <w:lang w:val="fr-FR"/>
        </w:rPr>
        <w:t>35968/97, § 69, CEDH 2003</w:t>
      </w:r>
      <w:r w:rsidRPr="00C24512">
        <w:rPr>
          <w:rFonts w:ascii="MS Mincho" w:eastAsia="MS Mincho" w:hAnsi="MS Mincho" w:cs="MS Mincho" w:hint="eastAsia"/>
          <w:lang w:val="fr-FR"/>
        </w:rPr>
        <w:t>‑</w:t>
      </w:r>
      <w:r w:rsidRPr="00C24512">
        <w:rPr>
          <w:lang w:val="fr-FR"/>
        </w:rPr>
        <w:t xml:space="preserve">VII, </w:t>
      </w:r>
      <w:proofErr w:type="spellStart"/>
      <w:r w:rsidRPr="00C24512">
        <w:rPr>
          <w:i/>
          <w:lang w:val="fr-FR"/>
        </w:rPr>
        <w:t>Schlumpf</w:t>
      </w:r>
      <w:proofErr w:type="spellEnd"/>
      <w:r w:rsidRPr="00C24512">
        <w:rPr>
          <w:i/>
          <w:lang w:val="fr-FR"/>
        </w:rPr>
        <w:t xml:space="preserve"> c. Suisse</w:t>
      </w:r>
      <w:r w:rsidRPr="00C24512">
        <w:rPr>
          <w:lang w:val="fr-FR"/>
        </w:rPr>
        <w:t>, n</w:t>
      </w:r>
      <w:r w:rsidRPr="00C24512">
        <w:rPr>
          <w:vertAlign w:val="superscript"/>
          <w:lang w:val="fr-FR"/>
        </w:rPr>
        <w:t>o</w:t>
      </w:r>
      <w:r w:rsidRPr="00C24512">
        <w:rPr>
          <w:lang w:val="fr-FR"/>
        </w:rPr>
        <w:t xml:space="preserve"> 29002/06, </w:t>
      </w:r>
      <w:r w:rsidRPr="00C24512">
        <w:rPr>
          <w:rFonts w:ascii="Times New Roman" w:hAnsi="Times New Roman" w:cs="Times New Roman"/>
          <w:lang w:val="fr-FR"/>
        </w:rPr>
        <w:t>§</w:t>
      </w:r>
      <w:r w:rsidRPr="00C24512">
        <w:rPr>
          <w:lang w:val="fr-FR"/>
        </w:rPr>
        <w:t xml:space="preserve"> 77, 8 janvier 2009, et </w:t>
      </w:r>
      <w:r w:rsidRPr="00C24512">
        <w:rPr>
          <w:i/>
          <w:lang w:val="fr-FR"/>
        </w:rPr>
        <w:t>Y.Y. c. Turquie</w:t>
      </w:r>
      <w:r w:rsidRPr="00C24512">
        <w:rPr>
          <w:lang w:val="fr-FR"/>
        </w:rPr>
        <w:t xml:space="preserve">, </w:t>
      </w:r>
      <w:r w:rsidR="00B7367B" w:rsidRPr="00C24512">
        <w:rPr>
          <w:lang w:val="fr-FR"/>
        </w:rPr>
        <w:t>précité,</w:t>
      </w:r>
      <w:r w:rsidRPr="00C24512">
        <w:rPr>
          <w:lang w:val="fr-FR"/>
        </w:rPr>
        <w:t xml:space="preserve"> </w:t>
      </w:r>
      <w:r w:rsidRPr="00C24512">
        <w:rPr>
          <w:rFonts w:ascii="Times New Roman" w:hAnsi="Times New Roman" w:cs="Times New Roman"/>
          <w:lang w:val="fr-FR"/>
        </w:rPr>
        <w:t>§</w:t>
      </w:r>
      <w:r w:rsidRPr="00C24512">
        <w:rPr>
          <w:lang w:val="fr-FR"/>
        </w:rPr>
        <w:t> 56, ainsi que les r</w:t>
      </w:r>
      <w:r w:rsidRPr="00C24512">
        <w:rPr>
          <w:rFonts w:ascii="Times New Roman" w:hAnsi="Times New Roman" w:cs="Times New Roman"/>
          <w:lang w:val="fr-FR"/>
        </w:rPr>
        <w:t>é</w:t>
      </w:r>
      <w:r w:rsidRPr="00C24512">
        <w:rPr>
          <w:lang w:val="fr-FR"/>
        </w:rPr>
        <w:t>f</w:t>
      </w:r>
      <w:r w:rsidRPr="00C24512">
        <w:rPr>
          <w:rFonts w:ascii="Times New Roman" w:hAnsi="Times New Roman" w:cs="Times New Roman"/>
          <w:lang w:val="fr-FR"/>
        </w:rPr>
        <w:t>é</w:t>
      </w:r>
      <w:r w:rsidRPr="00C24512">
        <w:rPr>
          <w:lang w:val="fr-FR"/>
        </w:rPr>
        <w:t>rences qui y sont indiqu</w:t>
      </w:r>
      <w:r w:rsidRPr="00C24512">
        <w:rPr>
          <w:rFonts w:ascii="Times New Roman" w:hAnsi="Times New Roman" w:cs="Times New Roman"/>
          <w:lang w:val="fr-FR"/>
        </w:rPr>
        <w:t>é</w:t>
      </w:r>
      <w:r w:rsidRPr="00C24512">
        <w:rPr>
          <w:lang w:val="fr-FR"/>
        </w:rPr>
        <w:t>es).</w:t>
      </w:r>
    </w:p>
    <w:p w:rsidR="005B5811" w:rsidRPr="00C24512" w:rsidRDefault="005B5811" w:rsidP="00C24512">
      <w:pPr>
        <w:pStyle w:val="ECHRPara"/>
        <w:rPr>
          <w:lang w:val="fr-FR"/>
        </w:rPr>
      </w:pPr>
      <w:r w:rsidRPr="00C24512">
        <w:rPr>
          <w:lang w:val="fr-FR"/>
        </w:rPr>
        <w:fldChar w:fldCharType="begin"/>
      </w:r>
      <w:r w:rsidRPr="00C24512">
        <w:rPr>
          <w:lang w:val="fr-FR"/>
        </w:rPr>
        <w:instrText xml:space="preserve"> SEQ level0 \*arabic </w:instrText>
      </w:r>
      <w:r w:rsidRPr="00C24512">
        <w:rPr>
          <w:lang w:val="fr-FR"/>
        </w:rPr>
        <w:fldChar w:fldCharType="separate"/>
      </w:r>
      <w:r w:rsidR="00C24512" w:rsidRPr="00C24512">
        <w:rPr>
          <w:noProof/>
          <w:lang w:val="fr-FR"/>
        </w:rPr>
        <w:t>55</w:t>
      </w:r>
      <w:r w:rsidRPr="00C24512">
        <w:rPr>
          <w:lang w:val="fr-FR"/>
        </w:rPr>
        <w:fldChar w:fldCharType="end"/>
      </w:r>
      <w:r w:rsidRPr="00C24512">
        <w:rPr>
          <w:lang w:val="fr-FR"/>
        </w:rPr>
        <w:t xml:space="preserve">.  La Cour </w:t>
      </w:r>
      <w:r w:rsidR="00D111BF" w:rsidRPr="00C24512">
        <w:rPr>
          <w:lang w:val="fr-FR"/>
        </w:rPr>
        <w:t>rappelle</w:t>
      </w:r>
      <w:r w:rsidRPr="00C24512">
        <w:rPr>
          <w:lang w:val="fr-FR"/>
        </w:rPr>
        <w:t xml:space="preserve"> également que la notion d</w:t>
      </w:r>
      <w:r w:rsidR="00C24512" w:rsidRPr="00C24512">
        <w:rPr>
          <w:lang w:val="fr-FR"/>
        </w:rPr>
        <w:t>’</w:t>
      </w:r>
      <w:r w:rsidRPr="00C24512">
        <w:rPr>
          <w:lang w:val="fr-FR"/>
        </w:rPr>
        <w:t>autonomie personnelle reflète un principe important qui sous-tend l</w:t>
      </w:r>
      <w:r w:rsidR="00C24512" w:rsidRPr="00C24512">
        <w:rPr>
          <w:lang w:val="fr-FR"/>
        </w:rPr>
        <w:t>’</w:t>
      </w:r>
      <w:r w:rsidRPr="00C24512">
        <w:rPr>
          <w:lang w:val="fr-FR"/>
        </w:rPr>
        <w:t>interprétation des garanties de l</w:t>
      </w:r>
      <w:r w:rsidR="00C24512" w:rsidRPr="00C24512">
        <w:rPr>
          <w:lang w:val="fr-FR"/>
        </w:rPr>
        <w:t>’</w:t>
      </w:r>
      <w:r w:rsidRPr="00C24512">
        <w:rPr>
          <w:lang w:val="fr-FR"/>
        </w:rPr>
        <w:t>article 8 de la Convention (</w:t>
      </w:r>
      <w:proofErr w:type="spellStart"/>
      <w:r w:rsidRPr="00C24512">
        <w:rPr>
          <w:i/>
          <w:lang w:val="fr-FR"/>
        </w:rPr>
        <w:t>Pretty</w:t>
      </w:r>
      <w:proofErr w:type="spellEnd"/>
      <w:r w:rsidRPr="00C24512">
        <w:rPr>
          <w:i/>
          <w:lang w:val="fr-FR"/>
        </w:rPr>
        <w:t xml:space="preserve"> c. Royaume-Uni</w:t>
      </w:r>
      <w:r w:rsidRPr="00C24512">
        <w:rPr>
          <w:lang w:val="fr-FR"/>
        </w:rPr>
        <w:t>, n</w:t>
      </w:r>
      <w:r w:rsidRPr="00C24512">
        <w:rPr>
          <w:vertAlign w:val="superscript"/>
          <w:lang w:val="fr-FR"/>
        </w:rPr>
        <w:t>o</w:t>
      </w:r>
      <w:r w:rsidRPr="00C24512">
        <w:rPr>
          <w:lang w:val="fr-FR"/>
        </w:rPr>
        <w:t xml:space="preserve"> 2346/02, § 61, CEDH 2002</w:t>
      </w:r>
      <w:r w:rsidRPr="00C24512">
        <w:rPr>
          <w:rFonts w:ascii="MS Mincho" w:eastAsia="MS Mincho" w:hAnsi="MS Mincho" w:cs="MS Mincho" w:hint="eastAsia"/>
          <w:lang w:val="fr-FR"/>
        </w:rPr>
        <w:t>‑</w:t>
      </w:r>
      <w:r w:rsidRPr="00C24512">
        <w:rPr>
          <w:lang w:val="fr-FR"/>
        </w:rPr>
        <w:t>III), ce qui l</w:t>
      </w:r>
      <w:r w:rsidR="00C24512" w:rsidRPr="00C24512">
        <w:rPr>
          <w:rFonts w:ascii="Times New Roman" w:hAnsi="Times New Roman" w:cs="Times New Roman"/>
          <w:lang w:val="fr-FR"/>
        </w:rPr>
        <w:t>’</w:t>
      </w:r>
      <w:r w:rsidRPr="00C24512">
        <w:rPr>
          <w:lang w:val="fr-FR"/>
        </w:rPr>
        <w:t xml:space="preserve">a conduite </w:t>
      </w:r>
      <w:r w:rsidRPr="00C24512">
        <w:rPr>
          <w:rFonts w:ascii="Times New Roman" w:hAnsi="Times New Roman" w:cs="Times New Roman"/>
          <w:lang w:val="fr-FR"/>
        </w:rPr>
        <w:t>à</w:t>
      </w:r>
      <w:r w:rsidRPr="00C24512">
        <w:rPr>
          <w:lang w:val="fr-FR"/>
        </w:rPr>
        <w:t xml:space="preserve"> reconna</w:t>
      </w:r>
      <w:r w:rsidRPr="00C24512">
        <w:rPr>
          <w:rFonts w:ascii="Times New Roman" w:hAnsi="Times New Roman" w:cs="Times New Roman"/>
          <w:lang w:val="fr-FR"/>
        </w:rPr>
        <w:t>î</w:t>
      </w:r>
      <w:r w:rsidRPr="00C24512">
        <w:rPr>
          <w:lang w:val="fr-FR"/>
        </w:rPr>
        <w:t>tre, dans le contexte de l</w:t>
      </w:r>
      <w:r w:rsidR="00C24512" w:rsidRPr="00C24512">
        <w:rPr>
          <w:lang w:val="fr-FR"/>
        </w:rPr>
        <w:t>’</w:t>
      </w:r>
      <w:r w:rsidRPr="00C24512">
        <w:rPr>
          <w:lang w:val="fr-FR"/>
        </w:rPr>
        <w:t>application de cette disposition à la situation des personnes transsexuelles, qu</w:t>
      </w:r>
      <w:r w:rsidR="00C24512" w:rsidRPr="00C24512">
        <w:rPr>
          <w:lang w:val="fr-FR"/>
        </w:rPr>
        <w:t>’</w:t>
      </w:r>
      <w:r w:rsidRPr="00C24512">
        <w:rPr>
          <w:lang w:val="fr-FR"/>
        </w:rPr>
        <w:t>elle comporte un droit à l</w:t>
      </w:r>
      <w:r w:rsidR="00C24512" w:rsidRPr="00C24512">
        <w:rPr>
          <w:lang w:val="fr-FR"/>
        </w:rPr>
        <w:t>’</w:t>
      </w:r>
      <w:r w:rsidRPr="00C24512">
        <w:rPr>
          <w:lang w:val="fr-FR"/>
        </w:rPr>
        <w:t>autodétermination (</w:t>
      </w:r>
      <w:r w:rsidRPr="00C24512">
        <w:rPr>
          <w:i/>
          <w:lang w:val="fr-FR"/>
        </w:rPr>
        <w:t xml:space="preserve">Van </w:t>
      </w:r>
      <w:proofErr w:type="spellStart"/>
      <w:r w:rsidRPr="00C24512">
        <w:rPr>
          <w:i/>
          <w:lang w:val="fr-FR"/>
        </w:rPr>
        <w:t>Kück</w:t>
      </w:r>
      <w:proofErr w:type="spellEnd"/>
      <w:r w:rsidRPr="00C24512">
        <w:rPr>
          <w:lang w:val="fr-FR"/>
        </w:rPr>
        <w:t xml:space="preserve">, § 69, </w:t>
      </w:r>
      <w:r w:rsidR="005E7F18" w:rsidRPr="00C24512">
        <w:rPr>
          <w:lang w:val="fr-FR"/>
        </w:rPr>
        <w:t xml:space="preserve">précité, </w:t>
      </w:r>
      <w:r w:rsidRPr="00C24512">
        <w:rPr>
          <w:lang w:val="fr-FR"/>
        </w:rPr>
        <w:t xml:space="preserve">et </w:t>
      </w:r>
      <w:proofErr w:type="spellStart"/>
      <w:r w:rsidRPr="00C24512">
        <w:rPr>
          <w:i/>
          <w:lang w:val="fr-FR"/>
        </w:rPr>
        <w:t>Schlumpf</w:t>
      </w:r>
      <w:proofErr w:type="spellEnd"/>
      <w:r w:rsidRPr="00C24512">
        <w:rPr>
          <w:lang w:val="fr-FR"/>
        </w:rPr>
        <w:t>, § 100</w:t>
      </w:r>
      <w:r w:rsidR="00D111BF" w:rsidRPr="00C24512">
        <w:rPr>
          <w:lang w:val="fr-FR"/>
        </w:rPr>
        <w:t>, précité</w:t>
      </w:r>
      <w:r w:rsidRPr="00C24512">
        <w:rPr>
          <w:lang w:val="fr-FR"/>
        </w:rPr>
        <w:t>), dont la liberté de définir son appartenance sexuelle est l</w:t>
      </w:r>
      <w:r w:rsidR="00C24512" w:rsidRPr="00C24512">
        <w:rPr>
          <w:lang w:val="fr-FR"/>
        </w:rPr>
        <w:t>’</w:t>
      </w:r>
      <w:r w:rsidRPr="00C24512">
        <w:rPr>
          <w:lang w:val="fr-FR"/>
        </w:rPr>
        <w:t>un des éléments les plus essentiels (</w:t>
      </w:r>
      <w:r w:rsidRPr="00C24512">
        <w:rPr>
          <w:i/>
          <w:lang w:val="fr-FR"/>
        </w:rPr>
        <w:t xml:space="preserve">Van </w:t>
      </w:r>
      <w:proofErr w:type="spellStart"/>
      <w:r w:rsidRPr="00C24512">
        <w:rPr>
          <w:i/>
          <w:lang w:val="fr-FR"/>
        </w:rPr>
        <w:t>Kück</w:t>
      </w:r>
      <w:proofErr w:type="spellEnd"/>
      <w:r w:rsidRPr="00C24512">
        <w:rPr>
          <w:lang w:val="fr-FR"/>
        </w:rPr>
        <w:t xml:space="preserve">, précité, § 73). Elle </w:t>
      </w:r>
      <w:r w:rsidR="00D111BF" w:rsidRPr="00C24512">
        <w:rPr>
          <w:lang w:val="fr-FR"/>
        </w:rPr>
        <w:t>rappelle aussi</w:t>
      </w:r>
      <w:r w:rsidRPr="00C24512">
        <w:rPr>
          <w:lang w:val="fr-FR"/>
        </w:rPr>
        <w:t xml:space="preserve"> que le droit à l</w:t>
      </w:r>
      <w:r w:rsidR="00C24512" w:rsidRPr="00C24512">
        <w:rPr>
          <w:lang w:val="fr-FR"/>
        </w:rPr>
        <w:t>’</w:t>
      </w:r>
      <w:r w:rsidRPr="00C24512">
        <w:rPr>
          <w:lang w:val="fr-FR"/>
        </w:rPr>
        <w:t>épanouissement personnel et à l</w:t>
      </w:r>
      <w:r w:rsidR="00C24512" w:rsidRPr="00C24512">
        <w:rPr>
          <w:lang w:val="fr-FR"/>
        </w:rPr>
        <w:t>’</w:t>
      </w:r>
      <w:r w:rsidRPr="00C24512">
        <w:rPr>
          <w:lang w:val="fr-FR"/>
        </w:rPr>
        <w:t>intégrité physique et morale des personnes transsexuelles est garanti par l</w:t>
      </w:r>
      <w:r w:rsidR="00C24512" w:rsidRPr="00C24512">
        <w:rPr>
          <w:lang w:val="fr-FR"/>
        </w:rPr>
        <w:t>’</w:t>
      </w:r>
      <w:r w:rsidRPr="00C24512">
        <w:rPr>
          <w:lang w:val="fr-FR"/>
        </w:rPr>
        <w:t xml:space="preserve">article 8 (voir, notamment, </w:t>
      </w:r>
      <w:r w:rsidRPr="00C24512">
        <w:rPr>
          <w:i/>
          <w:lang w:val="fr-FR"/>
        </w:rPr>
        <w:t xml:space="preserve">Van </w:t>
      </w:r>
      <w:proofErr w:type="spellStart"/>
      <w:r w:rsidRPr="00C24512">
        <w:rPr>
          <w:i/>
          <w:lang w:val="fr-FR"/>
        </w:rPr>
        <w:t>Kück</w:t>
      </w:r>
      <w:proofErr w:type="spellEnd"/>
      <w:r w:rsidRPr="00C24512">
        <w:rPr>
          <w:lang w:val="fr-FR"/>
        </w:rPr>
        <w:t xml:space="preserve">, § 69, </w:t>
      </w:r>
      <w:r w:rsidR="00D111BF" w:rsidRPr="00C24512">
        <w:rPr>
          <w:lang w:val="fr-FR"/>
        </w:rPr>
        <w:t xml:space="preserve">précité, </w:t>
      </w:r>
      <w:proofErr w:type="spellStart"/>
      <w:r w:rsidRPr="00C24512">
        <w:rPr>
          <w:i/>
          <w:lang w:val="fr-FR"/>
        </w:rPr>
        <w:t>Schlumpf</w:t>
      </w:r>
      <w:proofErr w:type="spellEnd"/>
      <w:r w:rsidRPr="00C24512">
        <w:rPr>
          <w:lang w:val="fr-FR"/>
        </w:rPr>
        <w:t xml:space="preserve">, § 100, </w:t>
      </w:r>
      <w:r w:rsidR="00D111BF" w:rsidRPr="00C24512">
        <w:rPr>
          <w:lang w:val="fr-FR"/>
        </w:rPr>
        <w:t xml:space="preserve">précité, </w:t>
      </w:r>
      <w:r w:rsidRPr="00C24512">
        <w:rPr>
          <w:lang w:val="fr-FR"/>
        </w:rPr>
        <w:t xml:space="preserve">et </w:t>
      </w:r>
      <w:r w:rsidR="008F7DEC" w:rsidRPr="00C24512">
        <w:rPr>
          <w:i/>
          <w:lang w:val="fr-FR"/>
        </w:rPr>
        <w:t>Y.Y. </w:t>
      </w:r>
      <w:r w:rsidRPr="00C24512">
        <w:rPr>
          <w:i/>
          <w:lang w:val="fr-FR"/>
        </w:rPr>
        <w:t>c. Turquie</w:t>
      </w:r>
      <w:r w:rsidRPr="00C24512">
        <w:rPr>
          <w:lang w:val="fr-FR"/>
        </w:rPr>
        <w:t xml:space="preserve">, </w:t>
      </w:r>
      <w:r w:rsidR="00842DE9" w:rsidRPr="00C24512">
        <w:rPr>
          <w:lang w:val="fr-FR"/>
        </w:rPr>
        <w:t>précité</w:t>
      </w:r>
      <w:r w:rsidRPr="00C24512">
        <w:rPr>
          <w:lang w:val="fr-FR"/>
        </w:rPr>
        <w:t xml:space="preserve">, </w:t>
      </w:r>
      <w:r w:rsidR="00D111BF" w:rsidRPr="00C24512">
        <w:rPr>
          <w:lang w:val="fr-FR"/>
        </w:rPr>
        <w:t>§ 58</w:t>
      </w:r>
      <w:r w:rsidRPr="00C24512">
        <w:rPr>
          <w:lang w:val="fr-FR"/>
        </w:rPr>
        <w:t>).</w:t>
      </w:r>
    </w:p>
    <w:p w:rsidR="005B5811" w:rsidRPr="00C24512" w:rsidRDefault="005B5811" w:rsidP="00C24512">
      <w:pPr>
        <w:pStyle w:val="ECHRPara"/>
        <w:rPr>
          <w:lang w:val="it-IT"/>
        </w:rPr>
      </w:pPr>
      <w:r w:rsidRPr="00C24512">
        <w:rPr>
          <w:lang w:val="fr-FR"/>
        </w:rPr>
        <w:fldChar w:fldCharType="begin"/>
      </w:r>
      <w:r w:rsidRPr="00C24512">
        <w:rPr>
          <w:lang w:val="fr-FR"/>
        </w:rPr>
        <w:instrText xml:space="preserve"> SEQ level0 \*arabic </w:instrText>
      </w:r>
      <w:r w:rsidRPr="00C24512">
        <w:rPr>
          <w:lang w:val="fr-FR"/>
        </w:rPr>
        <w:fldChar w:fldCharType="separate"/>
      </w:r>
      <w:r w:rsidR="00C24512" w:rsidRPr="00C24512">
        <w:rPr>
          <w:noProof/>
          <w:lang w:val="fr-FR"/>
        </w:rPr>
        <w:t>56</w:t>
      </w:r>
      <w:r w:rsidRPr="00C24512">
        <w:rPr>
          <w:lang w:val="fr-FR"/>
        </w:rPr>
        <w:fldChar w:fldCharType="end"/>
      </w:r>
      <w:r w:rsidRPr="00C24512">
        <w:rPr>
          <w:lang w:val="fr-FR"/>
        </w:rPr>
        <w:t>.  Les arrêts rendus à ce jour par la Cour dans ce domaine portent sur la reconnaissance légale de l</w:t>
      </w:r>
      <w:r w:rsidR="00C24512" w:rsidRPr="00C24512">
        <w:rPr>
          <w:lang w:val="fr-FR"/>
        </w:rPr>
        <w:t>’</w:t>
      </w:r>
      <w:r w:rsidRPr="00C24512">
        <w:rPr>
          <w:lang w:val="fr-FR"/>
        </w:rPr>
        <w:t xml:space="preserve">identité sexuelle de personnes transsexuelles ayant subi une opération de </w:t>
      </w:r>
      <w:r w:rsidR="006A23AD" w:rsidRPr="00C24512">
        <w:rPr>
          <w:lang w:val="fr-FR"/>
        </w:rPr>
        <w:t>conversion sexuelle</w:t>
      </w:r>
      <w:r w:rsidRPr="00C24512">
        <w:rPr>
          <w:lang w:val="fr-FR"/>
        </w:rPr>
        <w:t xml:space="preserve"> (</w:t>
      </w:r>
      <w:r w:rsidRPr="00C24512">
        <w:rPr>
          <w:i/>
          <w:lang w:val="fr-FR"/>
        </w:rPr>
        <w:t>Rees c. Royaume-Uni</w:t>
      </w:r>
      <w:r w:rsidRPr="00C24512">
        <w:rPr>
          <w:lang w:val="fr-FR"/>
        </w:rPr>
        <w:t>, 17</w:t>
      </w:r>
      <w:r w:rsidR="006A23AD" w:rsidRPr="00C24512">
        <w:rPr>
          <w:lang w:val="fr-FR"/>
        </w:rPr>
        <w:t> </w:t>
      </w:r>
      <w:r w:rsidRPr="00C24512">
        <w:rPr>
          <w:lang w:val="fr-FR"/>
        </w:rPr>
        <w:t>octobre 1986, série A n</w:t>
      </w:r>
      <w:r w:rsidRPr="00C24512">
        <w:rPr>
          <w:vertAlign w:val="superscript"/>
          <w:lang w:val="fr-FR"/>
        </w:rPr>
        <w:t>o</w:t>
      </w:r>
      <w:r w:rsidRPr="00C24512">
        <w:rPr>
          <w:lang w:val="fr-FR"/>
        </w:rPr>
        <w:t xml:space="preserve"> 106</w:t>
      </w:r>
      <w:r w:rsidR="003933B6" w:rsidRPr="00C24512">
        <w:rPr>
          <w:lang w:val="fr-FR"/>
        </w:rPr>
        <w:t>,</w:t>
      </w:r>
      <w:r w:rsidRPr="00C24512">
        <w:rPr>
          <w:lang w:val="fr-FR"/>
        </w:rPr>
        <w:t xml:space="preserve"> </w:t>
      </w:r>
      <w:proofErr w:type="spellStart"/>
      <w:r w:rsidRPr="00C24512">
        <w:rPr>
          <w:i/>
          <w:lang w:val="fr-FR"/>
        </w:rPr>
        <w:t>Cossey</w:t>
      </w:r>
      <w:proofErr w:type="spellEnd"/>
      <w:r w:rsidRPr="00C24512">
        <w:rPr>
          <w:i/>
          <w:lang w:val="fr-FR"/>
        </w:rPr>
        <w:t xml:space="preserve"> c. Royaume-Uni</w:t>
      </w:r>
      <w:r w:rsidRPr="00C24512">
        <w:rPr>
          <w:lang w:val="fr-FR"/>
        </w:rPr>
        <w:t>, 27 septembre 1990, série A n</w:t>
      </w:r>
      <w:r w:rsidRPr="00C24512">
        <w:rPr>
          <w:vertAlign w:val="superscript"/>
          <w:lang w:val="fr-FR"/>
        </w:rPr>
        <w:t>o</w:t>
      </w:r>
      <w:r w:rsidRPr="00C24512">
        <w:rPr>
          <w:lang w:val="fr-FR"/>
        </w:rPr>
        <w:t xml:space="preserve"> 184</w:t>
      </w:r>
      <w:r w:rsidR="003933B6" w:rsidRPr="00C24512">
        <w:rPr>
          <w:lang w:val="fr-FR"/>
        </w:rPr>
        <w:t>,</w:t>
      </w:r>
      <w:r w:rsidRPr="00C24512">
        <w:rPr>
          <w:lang w:val="fr-FR"/>
        </w:rPr>
        <w:t xml:space="preserve"> </w:t>
      </w:r>
      <w:r w:rsidRPr="00C24512">
        <w:rPr>
          <w:i/>
          <w:lang w:val="fr-FR"/>
        </w:rPr>
        <w:t>B. c. France</w:t>
      </w:r>
      <w:r w:rsidRPr="00C24512">
        <w:rPr>
          <w:lang w:val="fr-FR"/>
        </w:rPr>
        <w:t>, n</w:t>
      </w:r>
      <w:r w:rsidRPr="00C24512">
        <w:rPr>
          <w:vertAlign w:val="superscript"/>
          <w:lang w:val="fr-FR"/>
        </w:rPr>
        <w:t>o</w:t>
      </w:r>
      <w:r w:rsidRPr="00C24512">
        <w:rPr>
          <w:lang w:val="fr-FR"/>
        </w:rPr>
        <w:t xml:space="preserve"> 13343/87, 25 mars 1992, série A n</w:t>
      </w:r>
      <w:r w:rsidRPr="00C24512">
        <w:rPr>
          <w:vertAlign w:val="superscript"/>
          <w:lang w:val="fr-FR"/>
        </w:rPr>
        <w:t>o</w:t>
      </w:r>
      <w:r w:rsidR="006A23AD" w:rsidRPr="00C24512">
        <w:rPr>
          <w:lang w:val="fr-FR"/>
        </w:rPr>
        <w:t> </w:t>
      </w:r>
      <w:r w:rsidRPr="00C24512">
        <w:rPr>
          <w:lang w:val="fr-FR"/>
        </w:rPr>
        <w:t>232</w:t>
      </w:r>
      <w:r w:rsidRPr="00C24512">
        <w:rPr>
          <w:rFonts w:ascii="MS Mincho" w:eastAsia="MS Mincho" w:hAnsi="MS Mincho" w:cs="MS Mincho" w:hint="eastAsia"/>
          <w:lang w:val="fr-FR"/>
        </w:rPr>
        <w:t>‑</w:t>
      </w:r>
      <w:r w:rsidRPr="00C24512">
        <w:rPr>
          <w:lang w:val="fr-FR"/>
        </w:rPr>
        <w:t>C</w:t>
      </w:r>
      <w:r w:rsidR="003933B6" w:rsidRPr="00C24512">
        <w:rPr>
          <w:lang w:val="fr-FR"/>
        </w:rPr>
        <w:t>,</w:t>
      </w:r>
      <w:r w:rsidRPr="00C24512">
        <w:rPr>
          <w:lang w:val="fr-FR"/>
        </w:rPr>
        <w:t xml:space="preserve"> </w:t>
      </w:r>
      <w:r w:rsidRPr="00C24512">
        <w:rPr>
          <w:i/>
          <w:lang w:val="it-IT"/>
        </w:rPr>
        <w:t xml:space="preserve">Christine Goodwin c. </w:t>
      </w:r>
      <w:proofErr w:type="spellStart"/>
      <w:r w:rsidRPr="00C24512">
        <w:rPr>
          <w:i/>
          <w:lang w:val="it-IT"/>
        </w:rPr>
        <w:t>Royaume</w:t>
      </w:r>
      <w:proofErr w:type="spellEnd"/>
      <w:r w:rsidRPr="00C24512">
        <w:rPr>
          <w:i/>
          <w:lang w:val="it-IT"/>
        </w:rPr>
        <w:t>-Uni</w:t>
      </w:r>
      <w:r w:rsidRPr="00C24512">
        <w:rPr>
          <w:lang w:val="it-IT"/>
        </w:rPr>
        <w:t xml:space="preserve"> [GC], n</w:t>
      </w:r>
      <w:r w:rsidRPr="00C24512">
        <w:rPr>
          <w:vertAlign w:val="superscript"/>
          <w:lang w:val="it-IT"/>
        </w:rPr>
        <w:t>o</w:t>
      </w:r>
      <w:r w:rsidRPr="00C24512">
        <w:rPr>
          <w:lang w:val="it-IT"/>
        </w:rPr>
        <w:t xml:space="preserve"> 28957/95, CEDH</w:t>
      </w:r>
      <w:r w:rsidR="006A23AD" w:rsidRPr="00C24512">
        <w:rPr>
          <w:lang w:val="it-IT"/>
        </w:rPr>
        <w:t> </w:t>
      </w:r>
      <w:r w:rsidRPr="00C24512">
        <w:rPr>
          <w:lang w:val="it-IT"/>
        </w:rPr>
        <w:t>2002</w:t>
      </w:r>
      <w:r w:rsidRPr="00C24512">
        <w:rPr>
          <w:lang w:val="it-IT"/>
        </w:rPr>
        <w:noBreakHyphen/>
        <w:t>VI</w:t>
      </w:r>
      <w:r w:rsidR="003933B6" w:rsidRPr="00C24512">
        <w:rPr>
          <w:lang w:val="it-IT"/>
        </w:rPr>
        <w:t xml:space="preserve">, </w:t>
      </w:r>
      <w:r w:rsidRPr="00C24512">
        <w:rPr>
          <w:i/>
          <w:lang w:val="fr-FR"/>
        </w:rPr>
        <w:t>I.</w:t>
      </w:r>
      <w:r w:rsidR="003933B6" w:rsidRPr="00C24512">
        <w:rPr>
          <w:i/>
          <w:lang w:val="fr-FR"/>
        </w:rPr>
        <w:t> </w:t>
      </w:r>
      <w:r w:rsidRPr="00C24512">
        <w:rPr>
          <w:i/>
          <w:lang w:val="fr-FR"/>
        </w:rPr>
        <w:t>c. Royaume-Uni</w:t>
      </w:r>
      <w:r w:rsidRPr="00C24512">
        <w:rPr>
          <w:lang w:val="fr-FR"/>
        </w:rPr>
        <w:t xml:space="preserve"> [GC], n</w:t>
      </w:r>
      <w:r w:rsidRPr="00C24512">
        <w:rPr>
          <w:vertAlign w:val="superscript"/>
          <w:lang w:val="fr-FR"/>
        </w:rPr>
        <w:t>o</w:t>
      </w:r>
      <w:r w:rsidRPr="00C24512">
        <w:rPr>
          <w:lang w:val="fr-FR"/>
        </w:rPr>
        <w:t xml:space="preserve"> 25680/94, 11 juillet 2002</w:t>
      </w:r>
      <w:r w:rsidR="003933B6" w:rsidRPr="00C24512">
        <w:rPr>
          <w:lang w:val="fr-FR"/>
        </w:rPr>
        <w:t xml:space="preserve">, </w:t>
      </w:r>
      <w:r w:rsidRPr="00C24512">
        <w:rPr>
          <w:i/>
          <w:lang w:val="fr-FR"/>
        </w:rPr>
        <w:t>Grant c.</w:t>
      </w:r>
      <w:r w:rsidR="003933B6" w:rsidRPr="00C24512">
        <w:rPr>
          <w:i/>
          <w:lang w:val="fr-FR"/>
        </w:rPr>
        <w:t> </w:t>
      </w:r>
      <w:r w:rsidRPr="00C24512">
        <w:rPr>
          <w:i/>
          <w:lang w:val="fr-FR"/>
        </w:rPr>
        <w:t>Royaume</w:t>
      </w:r>
      <w:r w:rsidR="003933B6" w:rsidRPr="00C24512">
        <w:rPr>
          <w:i/>
          <w:lang w:val="fr-FR"/>
        </w:rPr>
        <w:noBreakHyphen/>
      </w:r>
      <w:r w:rsidRPr="00C24512">
        <w:rPr>
          <w:i/>
          <w:lang w:val="fr-FR"/>
        </w:rPr>
        <w:t>Uni,</w:t>
      </w:r>
      <w:r w:rsidRPr="00C24512">
        <w:rPr>
          <w:lang w:val="fr-FR"/>
        </w:rPr>
        <w:t xml:space="preserve"> n</w:t>
      </w:r>
      <w:r w:rsidRPr="00C24512">
        <w:rPr>
          <w:vertAlign w:val="superscript"/>
          <w:lang w:val="fr-FR"/>
        </w:rPr>
        <w:t>o</w:t>
      </w:r>
      <w:r w:rsidRPr="00C24512">
        <w:rPr>
          <w:lang w:val="fr-FR"/>
        </w:rPr>
        <w:t xml:space="preserve"> 32570/03, CEDH 2006</w:t>
      </w:r>
      <w:r w:rsidRPr="00C24512">
        <w:rPr>
          <w:rFonts w:ascii="MS Mincho" w:eastAsia="MS Mincho" w:hAnsi="MS Mincho" w:cs="MS Mincho" w:hint="eastAsia"/>
          <w:lang w:val="fr-FR"/>
        </w:rPr>
        <w:t>‑</w:t>
      </w:r>
      <w:r w:rsidRPr="00C24512">
        <w:rPr>
          <w:lang w:val="fr-FR"/>
        </w:rPr>
        <w:t>VII</w:t>
      </w:r>
      <w:r w:rsidR="003933B6" w:rsidRPr="00C24512">
        <w:rPr>
          <w:lang w:val="fr-FR"/>
        </w:rPr>
        <w:t>,</w:t>
      </w:r>
      <w:r w:rsidRPr="00C24512">
        <w:rPr>
          <w:lang w:val="fr-FR"/>
        </w:rPr>
        <w:t xml:space="preserve"> </w:t>
      </w:r>
      <w:r w:rsidR="003933B6" w:rsidRPr="00C24512">
        <w:rPr>
          <w:lang w:val="fr-FR"/>
        </w:rPr>
        <w:t xml:space="preserve">et </w:t>
      </w:r>
      <w:proofErr w:type="spellStart"/>
      <w:r w:rsidRPr="00C24512">
        <w:rPr>
          <w:i/>
          <w:lang w:val="fr-FR"/>
        </w:rPr>
        <w:t>H</w:t>
      </w:r>
      <w:r w:rsidRPr="00C24512">
        <w:rPr>
          <w:rFonts w:ascii="Times New Roman" w:hAnsi="Times New Roman" w:cs="Times New Roman"/>
          <w:i/>
          <w:lang w:val="fr-FR"/>
        </w:rPr>
        <w:t>ä</w:t>
      </w:r>
      <w:r w:rsidRPr="00C24512">
        <w:rPr>
          <w:i/>
          <w:lang w:val="fr-FR"/>
        </w:rPr>
        <w:t>m</w:t>
      </w:r>
      <w:r w:rsidRPr="00C24512">
        <w:rPr>
          <w:rFonts w:ascii="Times New Roman" w:hAnsi="Times New Roman" w:cs="Times New Roman"/>
          <w:i/>
          <w:lang w:val="fr-FR"/>
        </w:rPr>
        <w:t>ä</w:t>
      </w:r>
      <w:r w:rsidRPr="00C24512">
        <w:rPr>
          <w:i/>
          <w:lang w:val="fr-FR"/>
        </w:rPr>
        <w:t>l</w:t>
      </w:r>
      <w:r w:rsidRPr="00C24512">
        <w:rPr>
          <w:rFonts w:ascii="Times New Roman" w:hAnsi="Times New Roman" w:cs="Times New Roman"/>
          <w:i/>
          <w:lang w:val="fr-FR"/>
        </w:rPr>
        <w:t>ä</w:t>
      </w:r>
      <w:r w:rsidRPr="00C24512">
        <w:rPr>
          <w:i/>
          <w:lang w:val="fr-FR"/>
        </w:rPr>
        <w:t>inen</w:t>
      </w:r>
      <w:proofErr w:type="spellEnd"/>
      <w:r w:rsidRPr="00C24512">
        <w:rPr>
          <w:i/>
          <w:lang w:val="fr-FR"/>
        </w:rPr>
        <w:t xml:space="preserve"> c.</w:t>
      </w:r>
      <w:r w:rsidR="006A23AD" w:rsidRPr="00C24512">
        <w:rPr>
          <w:i/>
          <w:lang w:val="fr-FR"/>
        </w:rPr>
        <w:t> </w:t>
      </w:r>
      <w:r w:rsidRPr="00C24512">
        <w:rPr>
          <w:i/>
          <w:lang w:val="fr-FR"/>
        </w:rPr>
        <w:t>Finlande</w:t>
      </w:r>
      <w:r w:rsidRPr="00C24512">
        <w:rPr>
          <w:lang w:val="fr-FR"/>
        </w:rPr>
        <w:t xml:space="preserve"> [GC], n</w:t>
      </w:r>
      <w:r w:rsidRPr="00C24512">
        <w:rPr>
          <w:vertAlign w:val="superscript"/>
          <w:lang w:val="fr-FR"/>
        </w:rPr>
        <w:t>o</w:t>
      </w:r>
      <w:r w:rsidR="00BA37E1" w:rsidRPr="00C24512">
        <w:rPr>
          <w:lang w:val="fr-FR"/>
        </w:rPr>
        <w:t> </w:t>
      </w:r>
      <w:r w:rsidRPr="00C24512">
        <w:rPr>
          <w:lang w:val="fr-FR"/>
        </w:rPr>
        <w:t>37359/09, CEDH 2014), sur les conditions d</w:t>
      </w:r>
      <w:r w:rsidR="00C24512" w:rsidRPr="00C24512">
        <w:rPr>
          <w:lang w:val="fr-FR"/>
        </w:rPr>
        <w:t>’</w:t>
      </w:r>
      <w:r w:rsidRPr="00C24512">
        <w:rPr>
          <w:lang w:val="fr-FR"/>
        </w:rPr>
        <w:t>accès à une telle opération (</w:t>
      </w:r>
      <w:r w:rsidRPr="00C24512">
        <w:rPr>
          <w:i/>
          <w:lang w:val="fr-FR"/>
        </w:rPr>
        <w:t xml:space="preserve">Van </w:t>
      </w:r>
      <w:proofErr w:type="spellStart"/>
      <w:r w:rsidRPr="00C24512">
        <w:rPr>
          <w:i/>
          <w:lang w:val="fr-FR"/>
        </w:rPr>
        <w:t>Kück</w:t>
      </w:r>
      <w:proofErr w:type="spellEnd"/>
      <w:r w:rsidRPr="00C24512">
        <w:rPr>
          <w:lang w:val="fr-FR"/>
        </w:rPr>
        <w:t>, précité</w:t>
      </w:r>
      <w:r w:rsidR="003933B6" w:rsidRPr="00C24512">
        <w:rPr>
          <w:lang w:val="fr-FR"/>
        </w:rPr>
        <w:t xml:space="preserve">, </w:t>
      </w:r>
      <w:proofErr w:type="spellStart"/>
      <w:r w:rsidRPr="00C24512">
        <w:rPr>
          <w:i/>
          <w:lang w:val="fr-FR"/>
        </w:rPr>
        <w:t>Schlumpf</w:t>
      </w:r>
      <w:proofErr w:type="spellEnd"/>
      <w:r w:rsidRPr="00C24512">
        <w:rPr>
          <w:lang w:val="fr-FR"/>
        </w:rPr>
        <w:t>, précité</w:t>
      </w:r>
      <w:r w:rsidR="003933B6" w:rsidRPr="00C24512">
        <w:rPr>
          <w:lang w:val="fr-FR"/>
        </w:rPr>
        <w:t xml:space="preserve">, </w:t>
      </w:r>
      <w:r w:rsidRPr="00C24512">
        <w:rPr>
          <w:i/>
          <w:lang w:val="fr-FR"/>
        </w:rPr>
        <w:t>L. c. Lituanie</w:t>
      </w:r>
      <w:r w:rsidRPr="00C24512">
        <w:rPr>
          <w:lang w:val="fr-FR"/>
        </w:rPr>
        <w:t>, n</w:t>
      </w:r>
      <w:r w:rsidRPr="00C24512">
        <w:rPr>
          <w:vertAlign w:val="superscript"/>
          <w:lang w:val="fr-FR"/>
        </w:rPr>
        <w:t>o</w:t>
      </w:r>
      <w:r w:rsidR="00BA37E1" w:rsidRPr="00C24512">
        <w:rPr>
          <w:lang w:val="fr-FR"/>
        </w:rPr>
        <w:t> </w:t>
      </w:r>
      <w:r w:rsidRPr="00C24512">
        <w:rPr>
          <w:lang w:val="fr-FR"/>
        </w:rPr>
        <w:t>27527/03, CEDH 2007</w:t>
      </w:r>
      <w:r w:rsidRPr="00C24512">
        <w:rPr>
          <w:rFonts w:ascii="MS Mincho" w:eastAsia="MS Mincho" w:hAnsi="MS Mincho" w:cs="MS Mincho" w:hint="eastAsia"/>
          <w:lang w:val="fr-FR"/>
        </w:rPr>
        <w:t>‑</w:t>
      </w:r>
      <w:r w:rsidRPr="00C24512">
        <w:rPr>
          <w:lang w:val="fr-FR"/>
        </w:rPr>
        <w:t>IV</w:t>
      </w:r>
      <w:r w:rsidR="003933B6" w:rsidRPr="00C24512">
        <w:rPr>
          <w:lang w:val="fr-FR"/>
        </w:rPr>
        <w:t xml:space="preserve">, et </w:t>
      </w:r>
      <w:r w:rsidRPr="00C24512">
        <w:rPr>
          <w:i/>
          <w:lang w:val="fr-FR"/>
        </w:rPr>
        <w:t>Y.Y. c. Turquie</w:t>
      </w:r>
      <w:r w:rsidRPr="00C24512">
        <w:rPr>
          <w:lang w:val="fr-FR"/>
        </w:rPr>
        <w:t>, pr</w:t>
      </w:r>
      <w:r w:rsidRPr="00C24512">
        <w:rPr>
          <w:rFonts w:ascii="Times New Roman" w:hAnsi="Times New Roman" w:cs="Times New Roman"/>
          <w:lang w:val="fr-FR"/>
        </w:rPr>
        <w:t>é</w:t>
      </w:r>
      <w:r w:rsidRPr="00C24512">
        <w:rPr>
          <w:lang w:val="fr-FR"/>
        </w:rPr>
        <w:t>cit</w:t>
      </w:r>
      <w:r w:rsidRPr="00C24512">
        <w:rPr>
          <w:rFonts w:ascii="Times New Roman" w:hAnsi="Times New Roman" w:cs="Times New Roman"/>
          <w:lang w:val="fr-FR"/>
        </w:rPr>
        <w:t>é</w:t>
      </w:r>
      <w:r w:rsidRPr="00C24512">
        <w:rPr>
          <w:lang w:val="fr-FR"/>
        </w:rPr>
        <w:t>), ou encore sur la reconnaissance légale de l</w:t>
      </w:r>
      <w:r w:rsidR="00C24512" w:rsidRPr="00C24512">
        <w:rPr>
          <w:lang w:val="fr-FR"/>
        </w:rPr>
        <w:t>’</w:t>
      </w:r>
      <w:r w:rsidRPr="00C24512">
        <w:rPr>
          <w:lang w:val="fr-FR"/>
        </w:rPr>
        <w:t>identité sexuelle des personnes transgenres qui n</w:t>
      </w:r>
      <w:r w:rsidR="00C24512" w:rsidRPr="00C24512">
        <w:rPr>
          <w:lang w:val="fr-FR"/>
        </w:rPr>
        <w:t>’</w:t>
      </w:r>
      <w:r w:rsidRPr="00C24512">
        <w:rPr>
          <w:lang w:val="fr-FR"/>
        </w:rPr>
        <w:t>ont pas subi un traitement de</w:t>
      </w:r>
      <w:r w:rsidR="00D72A26" w:rsidRPr="00C24512">
        <w:rPr>
          <w:lang w:val="fr-FR"/>
        </w:rPr>
        <w:t xml:space="preserve"> changement de sexe</w:t>
      </w:r>
      <w:r w:rsidRPr="00C24512">
        <w:rPr>
          <w:lang w:val="fr-FR"/>
        </w:rPr>
        <w:t xml:space="preserve"> agréé par les autorités ou qui ne souhaitent pas subir un tel traitement (</w:t>
      </w:r>
      <w:r w:rsidRPr="00C24512">
        <w:rPr>
          <w:i/>
          <w:lang w:val="fr-FR"/>
        </w:rPr>
        <w:t>A.P., Garçon et Nicot</w:t>
      </w:r>
      <w:r w:rsidRPr="00C24512">
        <w:rPr>
          <w:lang w:val="fr-FR"/>
        </w:rPr>
        <w:t xml:space="preserve">, </w:t>
      </w:r>
      <w:r w:rsidR="003933B6" w:rsidRPr="00C24512">
        <w:rPr>
          <w:lang w:val="fr-FR"/>
        </w:rPr>
        <w:t>précité</w:t>
      </w:r>
      <w:r w:rsidRPr="00C24512">
        <w:rPr>
          <w:lang w:val="fr-FR"/>
        </w:rPr>
        <w:t>).</w:t>
      </w:r>
    </w:p>
    <w:p w:rsidR="005B5811" w:rsidRPr="00C24512" w:rsidRDefault="005B5811" w:rsidP="00C24512">
      <w:pPr>
        <w:pStyle w:val="ECHRPara"/>
        <w:keepNext/>
        <w:keepLines/>
        <w:rPr>
          <w:lang w:val="fr-FR"/>
        </w:rPr>
      </w:pPr>
      <w:r w:rsidRPr="00C24512">
        <w:lastRenderedPageBreak/>
        <w:fldChar w:fldCharType="begin"/>
      </w:r>
      <w:r w:rsidRPr="00C24512">
        <w:rPr>
          <w:lang w:val="fr-FR"/>
        </w:rPr>
        <w:instrText xml:space="preserve"> SEQ level0 \*arabic </w:instrText>
      </w:r>
      <w:r w:rsidRPr="00C24512">
        <w:fldChar w:fldCharType="separate"/>
      </w:r>
      <w:r w:rsidR="00C24512" w:rsidRPr="00C24512">
        <w:rPr>
          <w:noProof/>
          <w:lang w:val="fr-FR"/>
        </w:rPr>
        <w:t>57</w:t>
      </w:r>
      <w:r w:rsidRPr="00C24512">
        <w:fldChar w:fldCharType="end"/>
      </w:r>
      <w:r w:rsidRPr="00C24512">
        <w:rPr>
          <w:lang w:val="fr-FR"/>
        </w:rPr>
        <w:t>.  La Cour souligne que la présente affaire concerne l</w:t>
      </w:r>
      <w:r w:rsidR="00C24512" w:rsidRPr="00C24512">
        <w:rPr>
          <w:lang w:val="fr-FR"/>
        </w:rPr>
        <w:t>’</w:t>
      </w:r>
      <w:r w:rsidRPr="00C24512">
        <w:rPr>
          <w:lang w:val="fr-FR"/>
        </w:rPr>
        <w:t>impossibilité pour une personne transsexuelle d</w:t>
      </w:r>
      <w:r w:rsidR="00C24512" w:rsidRPr="00C24512">
        <w:rPr>
          <w:lang w:val="fr-FR"/>
        </w:rPr>
        <w:t>’</w:t>
      </w:r>
      <w:r w:rsidRPr="00C24512">
        <w:rPr>
          <w:lang w:val="fr-FR"/>
        </w:rPr>
        <w:t>obtenir le changement de prénom avant l</w:t>
      </w:r>
      <w:r w:rsidR="00C24512" w:rsidRPr="00C24512">
        <w:rPr>
          <w:lang w:val="fr-FR"/>
        </w:rPr>
        <w:t>’</w:t>
      </w:r>
      <w:r w:rsidRPr="00C24512">
        <w:rPr>
          <w:lang w:val="fr-FR"/>
        </w:rPr>
        <w:t>aboutissement définitif d</w:t>
      </w:r>
      <w:r w:rsidR="00671A65" w:rsidRPr="00C24512">
        <w:rPr>
          <w:lang w:val="fr-FR"/>
        </w:rPr>
        <w:t>u</w:t>
      </w:r>
      <w:r w:rsidRPr="00C24512">
        <w:rPr>
          <w:lang w:val="fr-FR"/>
        </w:rPr>
        <w:t xml:space="preserve"> processus de </w:t>
      </w:r>
      <w:r w:rsidR="006A23AD" w:rsidRPr="00C24512">
        <w:rPr>
          <w:lang w:val="fr-FR"/>
        </w:rPr>
        <w:t>transition</w:t>
      </w:r>
      <w:r w:rsidRPr="00C24512">
        <w:rPr>
          <w:lang w:val="fr-FR"/>
        </w:rPr>
        <w:t xml:space="preserve"> sexuelle</w:t>
      </w:r>
      <w:r w:rsidR="00FD662B" w:rsidRPr="00C24512">
        <w:rPr>
          <w:lang w:val="fr-FR"/>
        </w:rPr>
        <w:t xml:space="preserve"> par l</w:t>
      </w:r>
      <w:r w:rsidR="00C24512" w:rsidRPr="00C24512">
        <w:rPr>
          <w:lang w:val="fr-FR"/>
        </w:rPr>
        <w:t>’</w:t>
      </w:r>
      <w:r w:rsidR="00FD662B" w:rsidRPr="00C24512">
        <w:rPr>
          <w:lang w:val="fr-FR"/>
        </w:rPr>
        <w:t xml:space="preserve">opération de </w:t>
      </w:r>
      <w:r w:rsidR="006A23AD" w:rsidRPr="00C24512">
        <w:rPr>
          <w:lang w:val="fr-FR"/>
        </w:rPr>
        <w:t>conversion</w:t>
      </w:r>
      <w:r w:rsidRPr="00C24512">
        <w:rPr>
          <w:lang w:val="fr-FR"/>
        </w:rPr>
        <w:t>. Il s</w:t>
      </w:r>
      <w:r w:rsidR="00C24512" w:rsidRPr="00C24512">
        <w:rPr>
          <w:lang w:val="fr-FR"/>
        </w:rPr>
        <w:t>’</w:t>
      </w:r>
      <w:r w:rsidRPr="00C24512">
        <w:rPr>
          <w:lang w:val="fr-FR"/>
        </w:rPr>
        <w:t>agit là d</w:t>
      </w:r>
      <w:r w:rsidR="00C24512" w:rsidRPr="00C24512">
        <w:rPr>
          <w:lang w:val="fr-FR"/>
        </w:rPr>
        <w:t>’</w:t>
      </w:r>
      <w:r w:rsidRPr="00C24512">
        <w:rPr>
          <w:lang w:val="fr-FR"/>
        </w:rPr>
        <w:t>une problématique pouvant être rencontrée par les personnes transsexuelles différente de celles que la Cour a eu l</w:t>
      </w:r>
      <w:r w:rsidR="00C24512" w:rsidRPr="00C24512">
        <w:rPr>
          <w:lang w:val="fr-FR"/>
        </w:rPr>
        <w:t>’</w:t>
      </w:r>
      <w:r w:rsidRPr="00C24512">
        <w:rPr>
          <w:lang w:val="fr-FR"/>
        </w:rPr>
        <w:t>occasion d</w:t>
      </w:r>
      <w:r w:rsidR="00C24512" w:rsidRPr="00C24512">
        <w:rPr>
          <w:lang w:val="fr-FR"/>
        </w:rPr>
        <w:t>’</w:t>
      </w:r>
      <w:r w:rsidRPr="00C24512">
        <w:rPr>
          <w:lang w:val="fr-FR"/>
        </w:rPr>
        <w:t>examiner jusqu</w:t>
      </w:r>
      <w:r w:rsidR="00C24512" w:rsidRPr="00C24512">
        <w:rPr>
          <w:lang w:val="fr-FR"/>
        </w:rPr>
        <w:t>’</w:t>
      </w:r>
      <w:r w:rsidRPr="00C24512">
        <w:rPr>
          <w:lang w:val="fr-FR"/>
        </w:rPr>
        <w:t>à présent.</w:t>
      </w:r>
    </w:p>
    <w:p w:rsidR="005B5811" w:rsidRPr="00C24512" w:rsidRDefault="005B5811" w:rsidP="00C24512">
      <w:pPr>
        <w:pStyle w:val="ECHRPara"/>
        <w:rPr>
          <w:lang w:val="fr-FR"/>
        </w:rPr>
      </w:pPr>
      <w:r w:rsidRPr="00C24512">
        <w:fldChar w:fldCharType="begin"/>
      </w:r>
      <w:r w:rsidRPr="00C24512">
        <w:rPr>
          <w:lang w:val="fr-FR"/>
        </w:rPr>
        <w:instrText xml:space="preserve"> SEQ level0 \*arabic </w:instrText>
      </w:r>
      <w:r w:rsidRPr="00C24512">
        <w:fldChar w:fldCharType="separate"/>
      </w:r>
      <w:r w:rsidR="00C24512" w:rsidRPr="00C24512">
        <w:rPr>
          <w:noProof/>
          <w:lang w:val="fr-FR"/>
        </w:rPr>
        <w:t>58</w:t>
      </w:r>
      <w:r w:rsidRPr="00C24512">
        <w:fldChar w:fldCharType="end"/>
      </w:r>
      <w:r w:rsidRPr="00C24512">
        <w:rPr>
          <w:lang w:val="fr-FR"/>
        </w:rPr>
        <w:t xml:space="preserve">.  Il </w:t>
      </w:r>
      <w:r w:rsidR="00671A65" w:rsidRPr="00C24512">
        <w:rPr>
          <w:lang w:val="fr-FR"/>
        </w:rPr>
        <w:t>n</w:t>
      </w:r>
      <w:r w:rsidR="00C24512" w:rsidRPr="00C24512">
        <w:rPr>
          <w:lang w:val="fr-FR"/>
        </w:rPr>
        <w:t>’</w:t>
      </w:r>
      <w:r w:rsidRPr="00C24512">
        <w:rPr>
          <w:lang w:val="fr-FR"/>
        </w:rPr>
        <w:t>en reste pas moins que cette problématique relève pleinement du droit au respect de la vie privée et tombe dès lors sans conte</w:t>
      </w:r>
      <w:r w:rsidR="004D2673" w:rsidRPr="00C24512">
        <w:rPr>
          <w:lang w:val="fr-FR"/>
        </w:rPr>
        <w:t>s</w:t>
      </w:r>
      <w:r w:rsidRPr="00C24512">
        <w:rPr>
          <w:lang w:val="fr-FR"/>
        </w:rPr>
        <w:t>te dans le champ d</w:t>
      </w:r>
      <w:r w:rsidR="00C24512" w:rsidRPr="00C24512">
        <w:rPr>
          <w:lang w:val="fr-FR"/>
        </w:rPr>
        <w:t>’</w:t>
      </w:r>
      <w:r w:rsidRPr="00C24512">
        <w:rPr>
          <w:lang w:val="fr-FR"/>
        </w:rPr>
        <w:t>application de l</w:t>
      </w:r>
      <w:r w:rsidR="00C24512" w:rsidRPr="00C24512">
        <w:rPr>
          <w:lang w:val="fr-FR"/>
        </w:rPr>
        <w:t>’</w:t>
      </w:r>
      <w:r w:rsidRPr="00C24512">
        <w:rPr>
          <w:lang w:val="fr-FR"/>
        </w:rPr>
        <w:t>article 8</w:t>
      </w:r>
      <w:r w:rsidR="004D2673" w:rsidRPr="00C24512">
        <w:rPr>
          <w:lang w:val="fr-FR"/>
        </w:rPr>
        <w:t xml:space="preserve"> de la Convention</w:t>
      </w:r>
      <w:r w:rsidRPr="00C24512">
        <w:rPr>
          <w:lang w:val="fr-FR"/>
        </w:rPr>
        <w:t>, comme d</w:t>
      </w:r>
      <w:r w:rsidR="00C24512" w:rsidRPr="00C24512">
        <w:rPr>
          <w:lang w:val="fr-FR"/>
        </w:rPr>
        <w:t>’</w:t>
      </w:r>
      <w:r w:rsidRPr="00C24512">
        <w:rPr>
          <w:lang w:val="fr-FR"/>
        </w:rPr>
        <w:t>ailleurs la Cour l</w:t>
      </w:r>
      <w:r w:rsidR="00C24512" w:rsidRPr="00C24512">
        <w:rPr>
          <w:lang w:val="fr-FR"/>
        </w:rPr>
        <w:t>’</w:t>
      </w:r>
      <w:r w:rsidRPr="00C24512">
        <w:rPr>
          <w:lang w:val="fr-FR"/>
        </w:rPr>
        <w:t xml:space="preserve">a plus largement affirmé dans </w:t>
      </w:r>
      <w:r w:rsidR="004D2673" w:rsidRPr="00C24512">
        <w:rPr>
          <w:lang w:val="fr-FR"/>
        </w:rPr>
        <w:t>d</w:t>
      </w:r>
      <w:r w:rsidRPr="00C24512">
        <w:rPr>
          <w:lang w:val="fr-FR"/>
        </w:rPr>
        <w:t>es affaires portant sur le choix ou le changement des noms ou des prénoms de personnes physiques (voir, parmi beaucoup d</w:t>
      </w:r>
      <w:r w:rsidR="00C24512" w:rsidRPr="00C24512">
        <w:rPr>
          <w:lang w:val="fr-FR"/>
        </w:rPr>
        <w:t>’</w:t>
      </w:r>
      <w:r w:rsidRPr="00C24512">
        <w:rPr>
          <w:lang w:val="fr-FR"/>
        </w:rPr>
        <w:t xml:space="preserve">autres, </w:t>
      </w:r>
      <w:proofErr w:type="spellStart"/>
      <w:r w:rsidRPr="00C24512">
        <w:rPr>
          <w:i/>
          <w:lang w:val="fr-FR"/>
        </w:rPr>
        <w:t>Golemanova</w:t>
      </w:r>
      <w:proofErr w:type="spellEnd"/>
      <w:r w:rsidRPr="00C24512">
        <w:rPr>
          <w:i/>
          <w:lang w:val="fr-FR"/>
        </w:rPr>
        <w:t xml:space="preserve"> c. Bulgarie</w:t>
      </w:r>
      <w:r w:rsidRPr="00C24512">
        <w:rPr>
          <w:lang w:val="fr-FR"/>
        </w:rPr>
        <w:t>, n</w:t>
      </w:r>
      <w:r w:rsidRPr="00C24512">
        <w:rPr>
          <w:vertAlign w:val="superscript"/>
          <w:lang w:val="fr-FR"/>
        </w:rPr>
        <w:t>o</w:t>
      </w:r>
      <w:r w:rsidRPr="00C24512">
        <w:rPr>
          <w:lang w:val="fr-FR"/>
        </w:rPr>
        <w:t xml:space="preserve"> 11369/04, § 37, 17 février 2011</w:t>
      </w:r>
      <w:r w:rsidR="004D2673" w:rsidRPr="00C24512">
        <w:rPr>
          <w:lang w:val="fr-FR"/>
        </w:rPr>
        <w:t>,</w:t>
      </w:r>
      <w:r w:rsidRPr="00C24512">
        <w:rPr>
          <w:lang w:val="fr-FR"/>
        </w:rPr>
        <w:t xml:space="preserve"> et </w:t>
      </w:r>
      <w:r w:rsidRPr="00C24512">
        <w:rPr>
          <w:i/>
          <w:lang w:val="fr-FR"/>
        </w:rPr>
        <w:t xml:space="preserve">Henry </w:t>
      </w:r>
      <w:proofErr w:type="spellStart"/>
      <w:r w:rsidRPr="00C24512">
        <w:rPr>
          <w:i/>
          <w:lang w:val="fr-FR"/>
        </w:rPr>
        <w:t>Kismoun</w:t>
      </w:r>
      <w:proofErr w:type="spellEnd"/>
      <w:r w:rsidRPr="00C24512">
        <w:rPr>
          <w:i/>
          <w:lang w:val="fr-FR"/>
        </w:rPr>
        <w:t xml:space="preserve"> c. France</w:t>
      </w:r>
      <w:r w:rsidRPr="00C24512">
        <w:rPr>
          <w:lang w:val="fr-FR"/>
        </w:rPr>
        <w:t>, n</w:t>
      </w:r>
      <w:r w:rsidRPr="00C24512">
        <w:rPr>
          <w:vertAlign w:val="superscript"/>
          <w:lang w:val="fr-FR"/>
        </w:rPr>
        <w:t>o</w:t>
      </w:r>
      <w:r w:rsidRPr="00C24512">
        <w:rPr>
          <w:lang w:val="fr-FR"/>
        </w:rPr>
        <w:t xml:space="preserve"> 32265/10, § 25, 5 décembre 2013).</w:t>
      </w:r>
    </w:p>
    <w:p w:rsidR="005B5811" w:rsidRPr="00C24512" w:rsidRDefault="005B5811" w:rsidP="00C24512">
      <w:pPr>
        <w:pStyle w:val="ECHRPara"/>
        <w:rPr>
          <w:rFonts w:eastAsiaTheme="minorHAnsi"/>
          <w:lang w:val="fr-FR"/>
        </w:rPr>
      </w:pPr>
      <w:r w:rsidRPr="00C24512">
        <w:fldChar w:fldCharType="begin"/>
      </w:r>
      <w:r w:rsidRPr="00C24512">
        <w:rPr>
          <w:lang w:val="fr-FR"/>
        </w:rPr>
        <w:instrText xml:space="preserve"> SEQ level0 \*arabic </w:instrText>
      </w:r>
      <w:r w:rsidRPr="00C24512">
        <w:fldChar w:fldCharType="separate"/>
      </w:r>
      <w:r w:rsidR="00C24512" w:rsidRPr="00C24512">
        <w:rPr>
          <w:noProof/>
          <w:lang w:val="fr-FR"/>
        </w:rPr>
        <w:t>59</w:t>
      </w:r>
      <w:r w:rsidRPr="00C24512">
        <w:fldChar w:fldCharType="end"/>
      </w:r>
      <w:r w:rsidRPr="00C24512">
        <w:rPr>
          <w:lang w:val="fr-FR"/>
        </w:rPr>
        <w:t>.  </w:t>
      </w:r>
      <w:r w:rsidR="004D2673" w:rsidRPr="00C24512">
        <w:rPr>
          <w:lang w:val="fr-FR"/>
        </w:rPr>
        <w:t>Partant, l</w:t>
      </w:r>
      <w:r w:rsidR="00C24512" w:rsidRPr="00C24512">
        <w:rPr>
          <w:lang w:val="fr-FR"/>
        </w:rPr>
        <w:t>’</w:t>
      </w:r>
      <w:r w:rsidRPr="00C24512">
        <w:rPr>
          <w:lang w:val="fr-FR"/>
        </w:rPr>
        <w:t xml:space="preserve">article 8 </w:t>
      </w:r>
      <w:r w:rsidR="004D2673" w:rsidRPr="00C24512">
        <w:rPr>
          <w:lang w:val="fr-FR"/>
        </w:rPr>
        <w:t xml:space="preserve">de la Convention </w:t>
      </w:r>
      <w:r w:rsidRPr="00C24512">
        <w:rPr>
          <w:lang w:val="fr-FR"/>
        </w:rPr>
        <w:t>s</w:t>
      </w:r>
      <w:r w:rsidR="00C24512" w:rsidRPr="00C24512">
        <w:rPr>
          <w:lang w:val="fr-FR"/>
        </w:rPr>
        <w:t>’</w:t>
      </w:r>
      <w:r w:rsidRPr="00C24512">
        <w:rPr>
          <w:lang w:val="fr-FR"/>
        </w:rPr>
        <w:t>applique donc à la présente affaire sous son volet « vie privée », ce que, du reste, le Gouvernement ne conteste pas.</w:t>
      </w:r>
    </w:p>
    <w:p w:rsidR="00671DC4" w:rsidRPr="00C24512" w:rsidRDefault="005B5811" w:rsidP="00C24512">
      <w:pPr>
        <w:pStyle w:val="ECHRHeading4"/>
        <w:rPr>
          <w:rFonts w:eastAsiaTheme="minorHAnsi"/>
          <w:lang w:val="fr-FR"/>
        </w:rPr>
      </w:pPr>
      <w:r w:rsidRPr="00C24512">
        <w:rPr>
          <w:rFonts w:eastAsiaTheme="minorHAnsi"/>
          <w:lang w:val="fr-FR"/>
        </w:rPr>
        <w:t>b)</w:t>
      </w:r>
      <w:r w:rsidR="00F145BE" w:rsidRPr="00C24512">
        <w:rPr>
          <w:rFonts w:eastAsiaTheme="minorHAnsi"/>
          <w:lang w:val="fr-FR"/>
        </w:rPr>
        <w:t> </w:t>
      </w:r>
      <w:r w:rsidR="00826DA2" w:rsidRPr="00C24512">
        <w:rPr>
          <w:rFonts w:eastAsiaTheme="minorHAnsi"/>
          <w:lang w:val="fr-FR"/>
        </w:rPr>
        <w:t> </w:t>
      </w:r>
      <w:r w:rsidRPr="00C24512">
        <w:rPr>
          <w:rFonts w:eastAsiaTheme="minorHAnsi"/>
          <w:lang w:val="fr-FR"/>
        </w:rPr>
        <w:t>Sur l</w:t>
      </w:r>
      <w:r w:rsidR="00C24512" w:rsidRPr="00C24512">
        <w:rPr>
          <w:rFonts w:eastAsiaTheme="minorHAnsi"/>
          <w:lang w:val="fr-FR"/>
        </w:rPr>
        <w:t>’</w:t>
      </w:r>
      <w:r w:rsidRPr="00C24512">
        <w:rPr>
          <w:rFonts w:eastAsiaTheme="minorHAnsi"/>
          <w:lang w:val="fr-FR"/>
        </w:rPr>
        <w:t>observation de l</w:t>
      </w:r>
      <w:r w:rsidR="00C24512" w:rsidRPr="00C24512">
        <w:rPr>
          <w:rFonts w:eastAsiaTheme="minorHAnsi"/>
          <w:lang w:val="fr-FR"/>
        </w:rPr>
        <w:t>’</w:t>
      </w:r>
      <w:r w:rsidRPr="00C24512">
        <w:rPr>
          <w:rFonts w:eastAsiaTheme="minorHAnsi"/>
          <w:lang w:val="fr-FR"/>
        </w:rPr>
        <w:t>article 8</w:t>
      </w:r>
      <w:r w:rsidR="00A25485" w:rsidRPr="00C24512">
        <w:rPr>
          <w:rFonts w:eastAsiaTheme="minorHAnsi"/>
          <w:lang w:val="fr-FR"/>
        </w:rPr>
        <w:t xml:space="preserve"> de la Convention</w:t>
      </w:r>
    </w:p>
    <w:p w:rsidR="005B5811" w:rsidRPr="00C24512" w:rsidRDefault="005B5811" w:rsidP="00C24512">
      <w:pPr>
        <w:pStyle w:val="ECHRPara"/>
        <w:rPr>
          <w:lang w:val="fr-FR"/>
        </w:rPr>
      </w:pPr>
      <w:r w:rsidRPr="00C24512">
        <w:rPr>
          <w:lang w:val="fr-FR"/>
        </w:rPr>
        <w:fldChar w:fldCharType="begin"/>
      </w:r>
      <w:r w:rsidRPr="00C24512">
        <w:rPr>
          <w:lang w:val="fr-FR"/>
        </w:rPr>
        <w:instrText xml:space="preserve"> SEQ level0 \*arabic </w:instrText>
      </w:r>
      <w:r w:rsidRPr="00C24512">
        <w:rPr>
          <w:lang w:val="fr-FR"/>
        </w:rPr>
        <w:fldChar w:fldCharType="separate"/>
      </w:r>
      <w:r w:rsidR="00C24512" w:rsidRPr="00C24512">
        <w:rPr>
          <w:noProof/>
          <w:lang w:val="fr-FR"/>
        </w:rPr>
        <w:t>60</w:t>
      </w:r>
      <w:r w:rsidRPr="00C24512">
        <w:rPr>
          <w:lang w:val="fr-FR"/>
        </w:rPr>
        <w:fldChar w:fldCharType="end"/>
      </w:r>
      <w:r w:rsidRPr="00C24512">
        <w:rPr>
          <w:lang w:val="fr-FR"/>
        </w:rPr>
        <w:t>.  La Cour réaffirme que</w:t>
      </w:r>
      <w:r w:rsidR="00444367" w:rsidRPr="00C24512">
        <w:rPr>
          <w:lang w:val="fr-FR"/>
        </w:rPr>
        <w:t>,</w:t>
      </w:r>
      <w:r w:rsidRPr="00C24512">
        <w:rPr>
          <w:lang w:val="fr-FR"/>
        </w:rPr>
        <w:t xml:space="preserve"> si l</w:t>
      </w:r>
      <w:r w:rsidR="00C24512" w:rsidRPr="00C24512">
        <w:rPr>
          <w:lang w:val="fr-FR"/>
        </w:rPr>
        <w:t>’</w:t>
      </w:r>
      <w:r w:rsidRPr="00C24512">
        <w:rPr>
          <w:lang w:val="fr-FR"/>
        </w:rPr>
        <w:t xml:space="preserve">article 8 </w:t>
      </w:r>
      <w:r w:rsidR="00444367" w:rsidRPr="00C24512">
        <w:rPr>
          <w:lang w:val="fr-FR"/>
        </w:rPr>
        <w:t xml:space="preserve">de la Convention </w:t>
      </w:r>
      <w:r w:rsidRPr="00C24512">
        <w:rPr>
          <w:lang w:val="fr-FR"/>
        </w:rPr>
        <w:t>a essentiellement pour objet de prémunir l</w:t>
      </w:r>
      <w:r w:rsidR="00C24512" w:rsidRPr="00C24512">
        <w:rPr>
          <w:lang w:val="fr-FR"/>
        </w:rPr>
        <w:t>’</w:t>
      </w:r>
      <w:r w:rsidRPr="00C24512">
        <w:rPr>
          <w:lang w:val="fr-FR"/>
        </w:rPr>
        <w:t>individu contre des ingérences arbitraires des pouvoirs publics, il ne se contente pas d</w:t>
      </w:r>
      <w:r w:rsidR="00C24512" w:rsidRPr="00C24512">
        <w:rPr>
          <w:lang w:val="fr-FR"/>
        </w:rPr>
        <w:t>’</w:t>
      </w:r>
      <w:r w:rsidRPr="00C24512">
        <w:rPr>
          <w:lang w:val="fr-FR"/>
        </w:rPr>
        <w:t>astreindre l</w:t>
      </w:r>
      <w:r w:rsidR="00C24512" w:rsidRPr="00C24512">
        <w:rPr>
          <w:lang w:val="fr-FR"/>
        </w:rPr>
        <w:t>’</w:t>
      </w:r>
      <w:r w:rsidR="00444367" w:rsidRPr="00C24512">
        <w:rPr>
          <w:lang w:val="fr-FR"/>
        </w:rPr>
        <w:t>État</w:t>
      </w:r>
      <w:r w:rsidRPr="00C24512">
        <w:rPr>
          <w:lang w:val="fr-FR"/>
        </w:rPr>
        <w:t xml:space="preserve"> à s</w:t>
      </w:r>
      <w:r w:rsidR="00C24512" w:rsidRPr="00C24512">
        <w:rPr>
          <w:lang w:val="fr-FR"/>
        </w:rPr>
        <w:t>’</w:t>
      </w:r>
      <w:r w:rsidRPr="00C24512">
        <w:rPr>
          <w:lang w:val="fr-FR"/>
        </w:rPr>
        <w:t>abstenir de pareilles ingérences : à cet engagement négatif peuvent s</w:t>
      </w:r>
      <w:r w:rsidR="00C24512" w:rsidRPr="00C24512">
        <w:rPr>
          <w:lang w:val="fr-FR"/>
        </w:rPr>
        <w:t>’</w:t>
      </w:r>
      <w:r w:rsidRPr="00C24512">
        <w:rPr>
          <w:lang w:val="fr-FR"/>
        </w:rPr>
        <w:t xml:space="preserve">ajouter des obligations positives inhérentes à un respect effectif </w:t>
      </w:r>
      <w:r w:rsidR="008F7DEC" w:rsidRPr="00C24512">
        <w:rPr>
          <w:lang w:val="fr-FR"/>
        </w:rPr>
        <w:t xml:space="preserve">de la vie privée ou familiale. </w:t>
      </w:r>
      <w:r w:rsidRPr="00C24512">
        <w:rPr>
          <w:lang w:val="fr-FR"/>
        </w:rPr>
        <w:t>La frontière entre les obligations positives et les obligations négatives de l</w:t>
      </w:r>
      <w:r w:rsidR="00C24512" w:rsidRPr="00C24512">
        <w:rPr>
          <w:lang w:val="fr-FR"/>
        </w:rPr>
        <w:t>’</w:t>
      </w:r>
      <w:r w:rsidRPr="00C24512">
        <w:rPr>
          <w:lang w:val="fr-FR"/>
        </w:rPr>
        <w:t>État au titre de l</w:t>
      </w:r>
      <w:r w:rsidR="00C24512" w:rsidRPr="00C24512">
        <w:rPr>
          <w:lang w:val="fr-FR"/>
        </w:rPr>
        <w:t>’</w:t>
      </w:r>
      <w:r w:rsidRPr="00C24512">
        <w:rPr>
          <w:lang w:val="fr-FR"/>
        </w:rPr>
        <w:t xml:space="preserve">article 8 ne se prête pas à une définition précise, mais les principes applicables dans le cas des premières sont comparables à ceux valables pour les secondes. Pour déterminer si une obligation </w:t>
      </w:r>
      <w:r w:rsidR="00444367" w:rsidRPr="00C24512">
        <w:rPr>
          <w:lang w:val="fr-FR"/>
        </w:rPr>
        <w:t>–</w:t>
      </w:r>
      <w:r w:rsidRPr="00C24512">
        <w:rPr>
          <w:lang w:val="fr-FR"/>
        </w:rPr>
        <w:t xml:space="preserve"> positive ou négative </w:t>
      </w:r>
      <w:r w:rsidR="00444367" w:rsidRPr="00C24512">
        <w:rPr>
          <w:lang w:val="fr-FR"/>
        </w:rPr>
        <w:t>–</w:t>
      </w:r>
      <w:r w:rsidRPr="00C24512">
        <w:rPr>
          <w:lang w:val="fr-FR"/>
        </w:rPr>
        <w:t xml:space="preserve"> existe, il faut prendre en compte le juste équilibre à ménager entre l</w:t>
      </w:r>
      <w:r w:rsidR="00C24512" w:rsidRPr="00C24512">
        <w:rPr>
          <w:lang w:val="fr-FR"/>
        </w:rPr>
        <w:t>’</w:t>
      </w:r>
      <w:r w:rsidRPr="00C24512">
        <w:rPr>
          <w:lang w:val="fr-FR"/>
        </w:rPr>
        <w:t>intérêt général et les intérêts de l</w:t>
      </w:r>
      <w:r w:rsidR="00C24512" w:rsidRPr="00C24512">
        <w:rPr>
          <w:lang w:val="fr-FR"/>
        </w:rPr>
        <w:t>’</w:t>
      </w:r>
      <w:r w:rsidRPr="00C24512">
        <w:rPr>
          <w:lang w:val="fr-FR"/>
        </w:rPr>
        <w:t>individu (</w:t>
      </w:r>
      <w:r w:rsidR="00444367" w:rsidRPr="00C24512">
        <w:rPr>
          <w:lang w:val="fr-FR"/>
        </w:rPr>
        <w:t xml:space="preserve">voir, </w:t>
      </w:r>
      <w:r w:rsidRPr="00C24512">
        <w:rPr>
          <w:lang w:val="fr-FR"/>
        </w:rPr>
        <w:t xml:space="preserve">entre autres, </w:t>
      </w:r>
      <w:proofErr w:type="spellStart"/>
      <w:r w:rsidRPr="00C24512">
        <w:rPr>
          <w:i/>
          <w:lang w:val="fr-FR"/>
        </w:rPr>
        <w:t>Söderman</w:t>
      </w:r>
      <w:proofErr w:type="spellEnd"/>
      <w:r w:rsidRPr="00C24512">
        <w:rPr>
          <w:i/>
          <w:lang w:val="fr-FR"/>
        </w:rPr>
        <w:t xml:space="preserve"> c. Suède</w:t>
      </w:r>
      <w:r w:rsidRPr="00C24512">
        <w:rPr>
          <w:lang w:val="fr-FR"/>
        </w:rPr>
        <w:t xml:space="preserve"> [GC], n</w:t>
      </w:r>
      <w:r w:rsidRPr="00C24512">
        <w:rPr>
          <w:vertAlign w:val="superscript"/>
          <w:lang w:val="fr-FR"/>
        </w:rPr>
        <w:t>o</w:t>
      </w:r>
      <w:r w:rsidRPr="00C24512">
        <w:rPr>
          <w:lang w:val="fr-FR"/>
        </w:rPr>
        <w:t xml:space="preserve"> 5786/08, § 78, CEDH 2013).</w:t>
      </w:r>
    </w:p>
    <w:p w:rsidR="005B5811" w:rsidRPr="00C24512" w:rsidRDefault="005B5811" w:rsidP="00C24512">
      <w:pPr>
        <w:pStyle w:val="ECHRPara"/>
        <w:rPr>
          <w:lang w:val="fr-FR"/>
        </w:rPr>
      </w:pPr>
      <w:r w:rsidRPr="00C24512">
        <w:rPr>
          <w:lang w:val="fr-FR"/>
        </w:rPr>
        <w:fldChar w:fldCharType="begin"/>
      </w:r>
      <w:r w:rsidRPr="00C24512">
        <w:rPr>
          <w:lang w:val="fr-FR"/>
        </w:rPr>
        <w:instrText xml:space="preserve"> SEQ level0 \*arabic </w:instrText>
      </w:r>
      <w:r w:rsidRPr="00C24512">
        <w:rPr>
          <w:lang w:val="fr-FR"/>
        </w:rPr>
        <w:fldChar w:fldCharType="separate"/>
      </w:r>
      <w:r w:rsidR="00C24512" w:rsidRPr="00C24512">
        <w:rPr>
          <w:noProof/>
          <w:lang w:val="fr-FR"/>
        </w:rPr>
        <w:t>61</w:t>
      </w:r>
      <w:r w:rsidRPr="00C24512">
        <w:rPr>
          <w:lang w:val="fr-FR"/>
        </w:rPr>
        <w:fldChar w:fldCharType="end"/>
      </w:r>
      <w:r w:rsidRPr="00C24512">
        <w:rPr>
          <w:lang w:val="fr-FR"/>
        </w:rPr>
        <w:t xml:space="preserve">.  La Cour </w:t>
      </w:r>
      <w:r w:rsidR="00D00B31" w:rsidRPr="00C24512">
        <w:rPr>
          <w:lang w:val="fr-FR"/>
        </w:rPr>
        <w:t>réaffirme</w:t>
      </w:r>
      <w:r w:rsidRPr="00C24512">
        <w:rPr>
          <w:lang w:val="fr-FR"/>
        </w:rPr>
        <w:t xml:space="preserve"> </w:t>
      </w:r>
      <w:r w:rsidR="00592D99" w:rsidRPr="00C24512">
        <w:rPr>
          <w:lang w:val="fr-FR"/>
        </w:rPr>
        <w:t>par ailleurs</w:t>
      </w:r>
      <w:r w:rsidRPr="00C24512">
        <w:rPr>
          <w:lang w:val="fr-FR"/>
        </w:rPr>
        <w:t xml:space="preserve"> que, dans le domaine de la réglementation des conditions nécessaires pour le changement des noms des personnes physiques, les États contractants jouissent d</w:t>
      </w:r>
      <w:r w:rsidR="00C24512" w:rsidRPr="00C24512">
        <w:rPr>
          <w:lang w:val="fr-FR"/>
        </w:rPr>
        <w:t>’</w:t>
      </w:r>
      <w:r w:rsidRPr="00C24512">
        <w:rPr>
          <w:lang w:val="fr-FR"/>
        </w:rPr>
        <w:t>une large marge d</w:t>
      </w:r>
      <w:r w:rsidR="00C24512" w:rsidRPr="00C24512">
        <w:rPr>
          <w:lang w:val="fr-FR"/>
        </w:rPr>
        <w:t>’</w:t>
      </w:r>
      <w:r w:rsidRPr="00C24512">
        <w:rPr>
          <w:lang w:val="fr-FR"/>
        </w:rPr>
        <w:t>appréciation</w:t>
      </w:r>
      <w:r w:rsidR="00BA37E1" w:rsidRPr="00C24512">
        <w:rPr>
          <w:lang w:val="fr-FR"/>
        </w:rPr>
        <w:t>.</w:t>
      </w:r>
      <w:r w:rsidRPr="00C24512">
        <w:rPr>
          <w:lang w:val="fr-FR"/>
        </w:rPr>
        <w:t xml:space="preserve"> Tout en rappelant qu</w:t>
      </w:r>
      <w:r w:rsidR="00C24512" w:rsidRPr="00C24512">
        <w:rPr>
          <w:lang w:val="fr-FR"/>
        </w:rPr>
        <w:t>’</w:t>
      </w:r>
      <w:r w:rsidRPr="00C24512">
        <w:rPr>
          <w:lang w:val="fr-FR"/>
        </w:rPr>
        <w:t>il peut exister de véritables raisons amenant un individu à désirer changer de nom ou de prénom, la Cour ré</w:t>
      </w:r>
      <w:r w:rsidR="00D00B31" w:rsidRPr="00C24512">
        <w:rPr>
          <w:lang w:val="fr-FR"/>
        </w:rPr>
        <w:t>pète</w:t>
      </w:r>
      <w:r w:rsidRPr="00C24512">
        <w:rPr>
          <w:lang w:val="fr-FR"/>
        </w:rPr>
        <w:t xml:space="preserve"> que des restrictions légales à pareille possibilité peuvent se justifier dans l</w:t>
      </w:r>
      <w:r w:rsidR="00C24512" w:rsidRPr="00C24512">
        <w:rPr>
          <w:lang w:val="fr-FR"/>
        </w:rPr>
        <w:t>’</w:t>
      </w:r>
      <w:r w:rsidRPr="00C24512">
        <w:rPr>
          <w:lang w:val="fr-FR"/>
        </w:rPr>
        <w:t>intérêt public, par exemple afin d</w:t>
      </w:r>
      <w:r w:rsidR="00C24512" w:rsidRPr="00C24512">
        <w:rPr>
          <w:lang w:val="fr-FR"/>
        </w:rPr>
        <w:t>’</w:t>
      </w:r>
      <w:r w:rsidRPr="00C24512">
        <w:rPr>
          <w:lang w:val="fr-FR"/>
        </w:rPr>
        <w:t>assurer un enregistrement exact de la population ou de sauvegarder les moyens d</w:t>
      </w:r>
      <w:r w:rsidR="00C24512" w:rsidRPr="00C24512">
        <w:rPr>
          <w:lang w:val="fr-FR"/>
        </w:rPr>
        <w:t>’</w:t>
      </w:r>
      <w:r w:rsidRPr="00C24512">
        <w:rPr>
          <w:lang w:val="fr-FR"/>
        </w:rPr>
        <w:t>une identification personnelle et de relier à une famille les porteurs d</w:t>
      </w:r>
      <w:r w:rsidR="00C24512" w:rsidRPr="00C24512">
        <w:rPr>
          <w:lang w:val="fr-FR"/>
        </w:rPr>
        <w:t>’</w:t>
      </w:r>
      <w:r w:rsidRPr="00C24512">
        <w:rPr>
          <w:lang w:val="fr-FR"/>
        </w:rPr>
        <w:t>un nom donné (</w:t>
      </w:r>
      <w:proofErr w:type="spellStart"/>
      <w:r w:rsidRPr="00C24512">
        <w:rPr>
          <w:i/>
          <w:lang w:val="fr-FR"/>
        </w:rPr>
        <w:t>Golemanova</w:t>
      </w:r>
      <w:proofErr w:type="spellEnd"/>
      <w:r w:rsidRPr="00C24512">
        <w:rPr>
          <w:lang w:val="fr-FR"/>
        </w:rPr>
        <w:t>, précité, §</w:t>
      </w:r>
      <w:r w:rsidR="005E7F18" w:rsidRPr="00C24512">
        <w:rPr>
          <w:lang w:val="fr-FR"/>
        </w:rPr>
        <w:t> </w:t>
      </w:r>
      <w:r w:rsidRPr="00C24512">
        <w:rPr>
          <w:lang w:val="fr-FR"/>
        </w:rPr>
        <w:t>39</w:t>
      </w:r>
      <w:r w:rsidR="00D00B31" w:rsidRPr="00C24512">
        <w:rPr>
          <w:lang w:val="fr-FR"/>
        </w:rPr>
        <w:t>, et</w:t>
      </w:r>
      <w:r w:rsidRPr="00C24512">
        <w:rPr>
          <w:lang w:val="fr-FR"/>
        </w:rPr>
        <w:t xml:space="preserve"> </w:t>
      </w:r>
      <w:r w:rsidRPr="00C24512">
        <w:rPr>
          <w:i/>
          <w:lang w:val="fr-FR"/>
        </w:rPr>
        <w:t xml:space="preserve">Henry </w:t>
      </w:r>
      <w:proofErr w:type="spellStart"/>
      <w:r w:rsidRPr="00C24512">
        <w:rPr>
          <w:i/>
          <w:lang w:val="fr-FR"/>
        </w:rPr>
        <w:t>Kismoun</w:t>
      </w:r>
      <w:proofErr w:type="spellEnd"/>
      <w:r w:rsidRPr="00C24512">
        <w:rPr>
          <w:lang w:val="fr-FR"/>
        </w:rPr>
        <w:t>, précité, §, 31).</w:t>
      </w:r>
    </w:p>
    <w:p w:rsidR="005B5811" w:rsidRPr="00C24512" w:rsidRDefault="005B5811" w:rsidP="00C24512">
      <w:pPr>
        <w:pStyle w:val="ECHRPara"/>
        <w:keepNext/>
        <w:keepLines/>
        <w:rPr>
          <w:lang w:val="fr-FR"/>
        </w:rPr>
      </w:pPr>
      <w:r w:rsidRPr="00C24512">
        <w:rPr>
          <w:lang w:val="fr-FR"/>
        </w:rPr>
        <w:lastRenderedPageBreak/>
        <w:fldChar w:fldCharType="begin"/>
      </w:r>
      <w:r w:rsidRPr="00C24512">
        <w:rPr>
          <w:lang w:val="fr-FR"/>
        </w:rPr>
        <w:instrText xml:space="preserve"> SEQ level0 \*arabic </w:instrText>
      </w:r>
      <w:r w:rsidRPr="00C24512">
        <w:rPr>
          <w:lang w:val="fr-FR"/>
        </w:rPr>
        <w:fldChar w:fldCharType="separate"/>
      </w:r>
      <w:r w:rsidR="00C24512" w:rsidRPr="00C24512">
        <w:rPr>
          <w:noProof/>
          <w:lang w:val="fr-FR"/>
        </w:rPr>
        <w:t>62</w:t>
      </w:r>
      <w:r w:rsidRPr="00C24512">
        <w:rPr>
          <w:lang w:val="fr-FR"/>
        </w:rPr>
        <w:fldChar w:fldCharType="end"/>
      </w:r>
      <w:r w:rsidRPr="00C24512">
        <w:rPr>
          <w:lang w:val="fr-FR"/>
        </w:rPr>
        <w:t>.  Cela étant, en ce qui concerne la mise en balance des intérêts concurrents, la Cour a souligné l</w:t>
      </w:r>
      <w:r w:rsidR="00C24512" w:rsidRPr="00C24512">
        <w:rPr>
          <w:lang w:val="fr-FR"/>
        </w:rPr>
        <w:t>’</w:t>
      </w:r>
      <w:r w:rsidRPr="00C24512">
        <w:rPr>
          <w:lang w:val="fr-FR"/>
        </w:rPr>
        <w:t>importance particulière que revêtent les questions touchant à l</w:t>
      </w:r>
      <w:r w:rsidR="00C24512" w:rsidRPr="00C24512">
        <w:rPr>
          <w:lang w:val="fr-FR"/>
        </w:rPr>
        <w:t>’</w:t>
      </w:r>
      <w:r w:rsidRPr="00C24512">
        <w:rPr>
          <w:lang w:val="fr-FR"/>
        </w:rPr>
        <w:t>un des aspects les plus intimes de la vie privée, soit le droit à l</w:t>
      </w:r>
      <w:r w:rsidR="00C24512" w:rsidRPr="00C24512">
        <w:rPr>
          <w:lang w:val="fr-FR"/>
        </w:rPr>
        <w:t>’</w:t>
      </w:r>
      <w:r w:rsidRPr="00C24512">
        <w:rPr>
          <w:lang w:val="fr-FR"/>
        </w:rPr>
        <w:t>identité sexuelle, domaine dans lequel les États contractants jouissent d</w:t>
      </w:r>
      <w:r w:rsidR="00C24512" w:rsidRPr="00C24512">
        <w:rPr>
          <w:lang w:val="fr-FR"/>
        </w:rPr>
        <w:t>’</w:t>
      </w:r>
      <w:r w:rsidRPr="00C24512">
        <w:rPr>
          <w:lang w:val="fr-FR"/>
        </w:rPr>
        <w:t>une marge d</w:t>
      </w:r>
      <w:r w:rsidR="00C24512" w:rsidRPr="00C24512">
        <w:rPr>
          <w:lang w:val="fr-FR"/>
        </w:rPr>
        <w:t>’</w:t>
      </w:r>
      <w:r w:rsidRPr="00C24512">
        <w:rPr>
          <w:lang w:val="fr-FR"/>
        </w:rPr>
        <w:t>appréciation restreinte (</w:t>
      </w:r>
      <w:proofErr w:type="spellStart"/>
      <w:r w:rsidRPr="00C24512">
        <w:rPr>
          <w:i/>
          <w:lang w:val="fr-FR"/>
        </w:rPr>
        <w:t>Hämäläinen</w:t>
      </w:r>
      <w:proofErr w:type="spellEnd"/>
      <w:r w:rsidRPr="00C24512">
        <w:rPr>
          <w:lang w:val="fr-FR"/>
        </w:rPr>
        <w:t>, précité, § 67</w:t>
      </w:r>
      <w:r w:rsidR="00690560" w:rsidRPr="00C24512">
        <w:rPr>
          <w:lang w:val="fr-FR"/>
        </w:rPr>
        <w:t xml:space="preserve">, </w:t>
      </w:r>
      <w:r w:rsidRPr="00C24512">
        <w:rPr>
          <w:lang w:val="fr-FR"/>
        </w:rPr>
        <w:t>et</w:t>
      </w:r>
      <w:r w:rsidRPr="00C24512">
        <w:rPr>
          <w:i/>
          <w:lang w:val="fr-FR"/>
        </w:rPr>
        <w:t xml:space="preserve"> A.P., Garçon et Nicot</w:t>
      </w:r>
      <w:r w:rsidR="00690560" w:rsidRPr="00C24512">
        <w:rPr>
          <w:lang w:val="fr-FR"/>
        </w:rPr>
        <w:t>,</w:t>
      </w:r>
      <w:r w:rsidR="00690560" w:rsidRPr="00C24512">
        <w:rPr>
          <w:i/>
          <w:lang w:val="fr-FR"/>
        </w:rPr>
        <w:t xml:space="preserve"> </w:t>
      </w:r>
      <w:r w:rsidRPr="00C24512">
        <w:rPr>
          <w:lang w:val="fr-FR"/>
        </w:rPr>
        <w:t>précité</w:t>
      </w:r>
      <w:r w:rsidRPr="00C24512">
        <w:rPr>
          <w:i/>
          <w:lang w:val="fr-FR"/>
        </w:rPr>
        <w:t>,</w:t>
      </w:r>
      <w:r w:rsidRPr="00C24512">
        <w:rPr>
          <w:lang w:val="fr-FR"/>
        </w:rPr>
        <w:t xml:space="preserve"> § 123).</w:t>
      </w:r>
    </w:p>
    <w:p w:rsidR="00072F4E" w:rsidRPr="00C24512" w:rsidRDefault="005B5811" w:rsidP="00C24512">
      <w:pPr>
        <w:pStyle w:val="ECHRPara"/>
        <w:rPr>
          <w:lang w:val="fr-FR"/>
        </w:rPr>
      </w:pPr>
      <w:r w:rsidRPr="00C24512">
        <w:rPr>
          <w:lang w:val="fr-FR"/>
        </w:rPr>
        <w:fldChar w:fldCharType="begin"/>
      </w:r>
      <w:r w:rsidRPr="00C24512">
        <w:rPr>
          <w:lang w:val="fr-FR"/>
        </w:rPr>
        <w:instrText xml:space="preserve"> SEQ level0 \*arabic </w:instrText>
      </w:r>
      <w:r w:rsidRPr="00C24512">
        <w:rPr>
          <w:lang w:val="fr-FR"/>
        </w:rPr>
        <w:fldChar w:fldCharType="separate"/>
      </w:r>
      <w:r w:rsidR="00C24512" w:rsidRPr="00C24512">
        <w:rPr>
          <w:noProof/>
          <w:lang w:val="fr-FR"/>
        </w:rPr>
        <w:t>63</w:t>
      </w:r>
      <w:r w:rsidRPr="00C24512">
        <w:rPr>
          <w:lang w:val="fr-FR"/>
        </w:rPr>
        <w:fldChar w:fldCharType="end"/>
      </w:r>
      <w:r w:rsidRPr="00C24512">
        <w:rPr>
          <w:lang w:val="fr-FR"/>
        </w:rPr>
        <w:t>.  La question principale qui se pose</w:t>
      </w:r>
      <w:r w:rsidR="00690560" w:rsidRPr="00C24512">
        <w:rPr>
          <w:lang w:val="fr-FR"/>
        </w:rPr>
        <w:t xml:space="preserve"> en l</w:t>
      </w:r>
      <w:r w:rsidR="00C24512" w:rsidRPr="00C24512">
        <w:rPr>
          <w:lang w:val="fr-FR"/>
        </w:rPr>
        <w:t>’</w:t>
      </w:r>
      <w:r w:rsidR="00690560" w:rsidRPr="00C24512">
        <w:rPr>
          <w:lang w:val="fr-FR"/>
        </w:rPr>
        <w:t xml:space="preserve">espèce </w:t>
      </w:r>
      <w:r w:rsidRPr="00C24512">
        <w:rPr>
          <w:lang w:val="fr-FR"/>
        </w:rPr>
        <w:t>est celle de savoir si</w:t>
      </w:r>
      <w:r w:rsidR="00A461E2" w:rsidRPr="00C24512">
        <w:rPr>
          <w:lang w:val="fr-FR"/>
        </w:rPr>
        <w:t>, compte tenu de la marge d</w:t>
      </w:r>
      <w:r w:rsidR="00C24512" w:rsidRPr="00C24512">
        <w:rPr>
          <w:lang w:val="fr-FR"/>
        </w:rPr>
        <w:t>’</w:t>
      </w:r>
      <w:r w:rsidR="00A461E2" w:rsidRPr="00C24512">
        <w:rPr>
          <w:lang w:val="fr-FR"/>
        </w:rPr>
        <w:t xml:space="preserve">appréciation </w:t>
      </w:r>
      <w:r w:rsidR="00FD366B" w:rsidRPr="00C24512">
        <w:rPr>
          <w:lang w:val="fr-FR"/>
        </w:rPr>
        <w:t>dont elle disposait, l</w:t>
      </w:r>
      <w:r w:rsidR="00C24512" w:rsidRPr="00C24512">
        <w:rPr>
          <w:lang w:val="fr-FR"/>
        </w:rPr>
        <w:t>’</w:t>
      </w:r>
      <w:r w:rsidR="00FD366B" w:rsidRPr="00C24512">
        <w:rPr>
          <w:lang w:val="fr-FR"/>
        </w:rPr>
        <w:t>Italie</w:t>
      </w:r>
      <w:r w:rsidR="00A461E2" w:rsidRPr="00C24512">
        <w:rPr>
          <w:lang w:val="fr-FR"/>
        </w:rPr>
        <w:t xml:space="preserve"> </w:t>
      </w:r>
      <w:r w:rsidR="00FD366B" w:rsidRPr="00C24512">
        <w:rPr>
          <w:lang w:val="fr-FR"/>
        </w:rPr>
        <w:t xml:space="preserve">a </w:t>
      </w:r>
      <w:r w:rsidRPr="00C24512">
        <w:rPr>
          <w:lang w:val="fr-FR"/>
        </w:rPr>
        <w:t>ménagé un juste équilibre dans la mise en balance entre l</w:t>
      </w:r>
      <w:r w:rsidR="00C24512" w:rsidRPr="00C24512">
        <w:rPr>
          <w:lang w:val="fr-FR"/>
        </w:rPr>
        <w:t>’</w:t>
      </w:r>
      <w:r w:rsidRPr="00C24512">
        <w:rPr>
          <w:lang w:val="fr-FR"/>
        </w:rPr>
        <w:t>intérêt général et l</w:t>
      </w:r>
      <w:r w:rsidR="00C24512" w:rsidRPr="00C24512">
        <w:rPr>
          <w:lang w:val="fr-FR"/>
        </w:rPr>
        <w:t>’</w:t>
      </w:r>
      <w:r w:rsidRPr="00C24512">
        <w:rPr>
          <w:lang w:val="fr-FR"/>
        </w:rPr>
        <w:t xml:space="preserve">intérêt </w:t>
      </w:r>
      <w:r w:rsidR="00FD366B" w:rsidRPr="00C24512">
        <w:rPr>
          <w:lang w:val="fr-FR"/>
        </w:rPr>
        <w:t xml:space="preserve">privé </w:t>
      </w:r>
      <w:r w:rsidRPr="00C24512">
        <w:rPr>
          <w:lang w:val="fr-FR"/>
        </w:rPr>
        <w:t>de la requérante à ce que son prénom corresponde à son identité de genre</w:t>
      </w:r>
      <w:r w:rsidR="00072F4E" w:rsidRPr="00C24512">
        <w:rPr>
          <w:lang w:val="fr-FR"/>
        </w:rPr>
        <w:t>.</w:t>
      </w:r>
    </w:p>
    <w:p w:rsidR="005B5811" w:rsidRPr="00C24512" w:rsidRDefault="005B5811" w:rsidP="00C24512">
      <w:pPr>
        <w:pStyle w:val="ECHRPara"/>
        <w:rPr>
          <w:lang w:val="fr-FR"/>
        </w:rPr>
      </w:pPr>
      <w:r w:rsidRPr="00C24512">
        <w:rPr>
          <w:lang w:val="fr-FR"/>
        </w:rPr>
        <w:fldChar w:fldCharType="begin"/>
      </w:r>
      <w:r w:rsidRPr="00C24512">
        <w:rPr>
          <w:lang w:val="fr-FR"/>
        </w:rPr>
        <w:instrText xml:space="preserve"> SEQ level0 \*arabic </w:instrText>
      </w:r>
      <w:r w:rsidRPr="00C24512">
        <w:rPr>
          <w:lang w:val="fr-FR"/>
        </w:rPr>
        <w:fldChar w:fldCharType="separate"/>
      </w:r>
      <w:r w:rsidR="00C24512" w:rsidRPr="00C24512">
        <w:rPr>
          <w:noProof/>
          <w:lang w:val="fr-FR"/>
        </w:rPr>
        <w:t>64</w:t>
      </w:r>
      <w:r w:rsidRPr="00C24512">
        <w:rPr>
          <w:lang w:val="fr-FR"/>
        </w:rPr>
        <w:fldChar w:fldCharType="end"/>
      </w:r>
      <w:r w:rsidRPr="00C24512">
        <w:rPr>
          <w:lang w:val="fr-FR"/>
        </w:rPr>
        <w:t>.  La Cour observe tout d</w:t>
      </w:r>
      <w:r w:rsidR="00C24512" w:rsidRPr="00C24512">
        <w:rPr>
          <w:lang w:val="fr-FR"/>
        </w:rPr>
        <w:t>’</w:t>
      </w:r>
      <w:r w:rsidRPr="00C24512">
        <w:rPr>
          <w:lang w:val="fr-FR"/>
        </w:rPr>
        <w:t>abord que la loi italienne permet la reconnaissance juridique de l</w:t>
      </w:r>
      <w:r w:rsidR="00C24512" w:rsidRPr="00C24512">
        <w:rPr>
          <w:lang w:val="fr-FR"/>
        </w:rPr>
        <w:t>’</w:t>
      </w:r>
      <w:r w:rsidRPr="00C24512">
        <w:rPr>
          <w:lang w:val="fr-FR"/>
        </w:rPr>
        <w:t xml:space="preserve">identité de genre des personnes transsexuelles par le biais de la modification de leur état civil </w:t>
      </w:r>
      <w:r w:rsidR="00F8715C" w:rsidRPr="00C24512">
        <w:rPr>
          <w:lang w:val="fr-FR"/>
        </w:rPr>
        <w:t>conformément à</w:t>
      </w:r>
      <w:r w:rsidRPr="00C24512">
        <w:rPr>
          <w:lang w:val="fr-FR"/>
        </w:rPr>
        <w:t xml:space="preserve"> la loi n</w:t>
      </w:r>
      <w:r w:rsidRPr="00C24512">
        <w:rPr>
          <w:vertAlign w:val="superscript"/>
          <w:lang w:val="fr-FR"/>
        </w:rPr>
        <w:t>o</w:t>
      </w:r>
      <w:r w:rsidRPr="00C24512">
        <w:rPr>
          <w:lang w:val="fr-FR"/>
        </w:rPr>
        <w:t xml:space="preserve"> 164 de 1982 (paragraphe </w:t>
      </w:r>
      <w:r w:rsidR="00854D88" w:rsidRPr="00C24512">
        <w:rPr>
          <w:lang w:val="fr-FR"/>
        </w:rPr>
        <w:fldChar w:fldCharType="begin"/>
      </w:r>
      <w:r w:rsidR="00854D88" w:rsidRPr="00C24512">
        <w:rPr>
          <w:lang w:val="fr-FR"/>
        </w:rPr>
        <w:instrText xml:space="preserve"> REF loi164 \h </w:instrText>
      </w:r>
      <w:r w:rsidR="00854D88" w:rsidRPr="00C24512">
        <w:rPr>
          <w:lang w:val="fr-FR"/>
        </w:rPr>
      </w:r>
      <w:r w:rsidR="00854D88" w:rsidRPr="00C24512">
        <w:rPr>
          <w:lang w:val="fr-FR"/>
        </w:rPr>
        <w:fldChar w:fldCharType="separate"/>
      </w:r>
      <w:r w:rsidR="00C24512" w:rsidRPr="00C24512">
        <w:rPr>
          <w:noProof/>
          <w:lang w:val="fr-FR"/>
        </w:rPr>
        <w:t>18</w:t>
      </w:r>
      <w:r w:rsidR="00854D88" w:rsidRPr="00C24512">
        <w:rPr>
          <w:lang w:val="fr-FR"/>
        </w:rPr>
        <w:fldChar w:fldCharType="end"/>
      </w:r>
      <w:r w:rsidR="00854D88" w:rsidRPr="00C24512">
        <w:rPr>
          <w:lang w:val="fr-FR"/>
        </w:rPr>
        <w:t xml:space="preserve"> </w:t>
      </w:r>
      <w:r w:rsidRPr="00C24512">
        <w:rPr>
          <w:lang w:val="fr-FR"/>
        </w:rPr>
        <w:t>ci-dessus).</w:t>
      </w:r>
    </w:p>
    <w:p w:rsidR="00CF60C3" w:rsidRPr="00C24512" w:rsidRDefault="004D589E" w:rsidP="00C24512">
      <w:pPr>
        <w:pStyle w:val="ECHRPara"/>
        <w:rPr>
          <w:lang w:val="fr-FR"/>
        </w:rPr>
      </w:pPr>
      <w:r w:rsidRPr="00C24512">
        <w:rPr>
          <w:lang w:val="fr-FR"/>
        </w:rPr>
        <w:fldChar w:fldCharType="begin"/>
      </w:r>
      <w:r w:rsidRPr="00C24512">
        <w:rPr>
          <w:lang w:val="fr-FR"/>
        </w:rPr>
        <w:instrText xml:space="preserve"> SEQ level0 \*arabic </w:instrText>
      </w:r>
      <w:r w:rsidRPr="00C24512">
        <w:rPr>
          <w:lang w:val="fr-FR"/>
        </w:rPr>
        <w:fldChar w:fldCharType="separate"/>
      </w:r>
      <w:r w:rsidR="00C24512" w:rsidRPr="00C24512">
        <w:rPr>
          <w:noProof/>
          <w:lang w:val="fr-FR"/>
        </w:rPr>
        <w:t>65</w:t>
      </w:r>
      <w:r w:rsidRPr="00C24512">
        <w:rPr>
          <w:lang w:val="fr-FR"/>
        </w:rPr>
        <w:fldChar w:fldCharType="end"/>
      </w:r>
      <w:r w:rsidRPr="00C24512">
        <w:rPr>
          <w:lang w:val="fr-FR"/>
        </w:rPr>
        <w:t>.  </w:t>
      </w:r>
      <w:r w:rsidR="005B5811" w:rsidRPr="00C24512">
        <w:rPr>
          <w:lang w:val="fr-FR"/>
        </w:rPr>
        <w:t xml:space="preserve">La </w:t>
      </w:r>
      <w:r w:rsidR="00690560" w:rsidRPr="00C24512">
        <w:rPr>
          <w:lang w:val="fr-FR"/>
        </w:rPr>
        <w:t xml:space="preserve">Cour prend note de la position de la </w:t>
      </w:r>
      <w:r w:rsidR="005B5811" w:rsidRPr="00C24512">
        <w:rPr>
          <w:lang w:val="fr-FR"/>
        </w:rPr>
        <w:t>requérante</w:t>
      </w:r>
      <w:r w:rsidR="00690560" w:rsidRPr="00C24512">
        <w:rPr>
          <w:lang w:val="fr-FR"/>
        </w:rPr>
        <w:t>, qui</w:t>
      </w:r>
      <w:r w:rsidR="005B5811" w:rsidRPr="00C24512">
        <w:rPr>
          <w:lang w:val="fr-FR"/>
        </w:rPr>
        <w:t xml:space="preserve"> allègue avoir dû attendre de se soumettre à l</w:t>
      </w:r>
      <w:r w:rsidR="00C24512" w:rsidRPr="00C24512">
        <w:rPr>
          <w:lang w:val="fr-FR"/>
        </w:rPr>
        <w:t>’</w:t>
      </w:r>
      <w:r w:rsidR="005B5811" w:rsidRPr="00C24512">
        <w:rPr>
          <w:lang w:val="fr-FR"/>
        </w:rPr>
        <w:t xml:space="preserve">opération chirurgicale de </w:t>
      </w:r>
      <w:r w:rsidR="006A23AD" w:rsidRPr="00C24512">
        <w:rPr>
          <w:lang w:val="fr-FR"/>
        </w:rPr>
        <w:t>conversion</w:t>
      </w:r>
      <w:r w:rsidR="005B5811" w:rsidRPr="00C24512">
        <w:rPr>
          <w:lang w:val="fr-FR"/>
        </w:rPr>
        <w:t xml:space="preserve"> sexuelle pour obtenir l</w:t>
      </w:r>
      <w:r w:rsidR="00C24512" w:rsidRPr="00C24512">
        <w:rPr>
          <w:lang w:val="fr-FR"/>
        </w:rPr>
        <w:t>’</w:t>
      </w:r>
      <w:r w:rsidR="005B5811" w:rsidRPr="00C24512">
        <w:rPr>
          <w:lang w:val="fr-FR"/>
        </w:rPr>
        <w:t xml:space="preserve">autorisation </w:t>
      </w:r>
      <w:r w:rsidR="00690560" w:rsidRPr="00C24512">
        <w:rPr>
          <w:lang w:val="fr-FR"/>
        </w:rPr>
        <w:t>de</w:t>
      </w:r>
      <w:r w:rsidR="005B5811" w:rsidRPr="00C24512">
        <w:rPr>
          <w:lang w:val="fr-FR"/>
        </w:rPr>
        <w:t xml:space="preserve"> changer son prénom.</w:t>
      </w:r>
      <w:r w:rsidR="00F83FBF" w:rsidRPr="00C24512">
        <w:rPr>
          <w:lang w:val="fr-FR"/>
        </w:rPr>
        <w:t xml:space="preserve"> </w:t>
      </w:r>
      <w:r w:rsidR="00CF60C3" w:rsidRPr="00C24512">
        <w:rPr>
          <w:lang w:val="fr-FR"/>
        </w:rPr>
        <w:t xml:space="preserve">Elle observe par ailleurs </w:t>
      </w:r>
      <w:r w:rsidR="009C76C0" w:rsidRPr="00C24512">
        <w:rPr>
          <w:lang w:val="fr-FR"/>
        </w:rPr>
        <w:t>que l</w:t>
      </w:r>
      <w:r w:rsidR="00C24512" w:rsidRPr="00C24512">
        <w:rPr>
          <w:lang w:val="fr-FR"/>
        </w:rPr>
        <w:t>’</w:t>
      </w:r>
      <w:r w:rsidR="009C76C0" w:rsidRPr="00C24512">
        <w:rPr>
          <w:lang w:val="fr-FR"/>
        </w:rPr>
        <w:t xml:space="preserve">intéressée </w:t>
      </w:r>
      <w:r w:rsidR="007137EE" w:rsidRPr="00C24512">
        <w:rPr>
          <w:lang w:val="fr-FR"/>
        </w:rPr>
        <w:t>n</w:t>
      </w:r>
      <w:r w:rsidR="00C24512" w:rsidRPr="00C24512">
        <w:rPr>
          <w:lang w:val="fr-FR"/>
        </w:rPr>
        <w:t>’</w:t>
      </w:r>
      <w:r w:rsidR="007137EE" w:rsidRPr="00C24512">
        <w:rPr>
          <w:lang w:val="fr-FR"/>
        </w:rPr>
        <w:t>allègue pas</w:t>
      </w:r>
      <w:r w:rsidR="009C76C0" w:rsidRPr="00C24512">
        <w:rPr>
          <w:lang w:val="fr-FR"/>
        </w:rPr>
        <w:t xml:space="preserve"> avoir été amenée à se soumettre à l</w:t>
      </w:r>
      <w:r w:rsidR="00C24512" w:rsidRPr="00C24512">
        <w:rPr>
          <w:lang w:val="fr-FR"/>
        </w:rPr>
        <w:t>’</w:t>
      </w:r>
      <w:r w:rsidR="009C76C0" w:rsidRPr="00C24512">
        <w:rPr>
          <w:lang w:val="fr-FR"/>
        </w:rPr>
        <w:t>opération chirurgicale contre sa volonté et dans le seul but d</w:t>
      </w:r>
      <w:r w:rsidR="00C24512" w:rsidRPr="00C24512">
        <w:rPr>
          <w:lang w:val="fr-FR"/>
        </w:rPr>
        <w:t>’</w:t>
      </w:r>
      <w:r w:rsidR="009C76C0" w:rsidRPr="00C24512">
        <w:rPr>
          <w:lang w:val="fr-FR"/>
        </w:rPr>
        <w:t xml:space="preserve">obtenir une reconnaissance légale de son identité sexuelle. </w:t>
      </w:r>
      <w:r w:rsidR="008012EF" w:rsidRPr="00C24512">
        <w:rPr>
          <w:lang w:val="fr-FR"/>
        </w:rPr>
        <w:t>Au contraire, il ressort des documents de la procédure interne qu</w:t>
      </w:r>
      <w:r w:rsidR="00C24512" w:rsidRPr="00C24512">
        <w:rPr>
          <w:lang w:val="fr-FR"/>
        </w:rPr>
        <w:t>’</w:t>
      </w:r>
      <w:r w:rsidR="008012EF" w:rsidRPr="00C24512">
        <w:rPr>
          <w:lang w:val="fr-FR"/>
        </w:rPr>
        <w:t>elle a souhaité recourir à la chirurgie afin d</w:t>
      </w:r>
      <w:r w:rsidR="00C24512" w:rsidRPr="00C24512">
        <w:rPr>
          <w:lang w:val="fr-FR"/>
        </w:rPr>
        <w:t>’</w:t>
      </w:r>
      <w:r w:rsidR="008012EF" w:rsidRPr="00C24512">
        <w:rPr>
          <w:lang w:val="fr-FR"/>
        </w:rPr>
        <w:t>harmoniser son aspect physique avec son identité sexuelle et qu</w:t>
      </w:r>
      <w:r w:rsidR="00C24512" w:rsidRPr="00C24512">
        <w:rPr>
          <w:lang w:val="fr-FR"/>
        </w:rPr>
        <w:t>’</w:t>
      </w:r>
      <w:r w:rsidR="008012EF" w:rsidRPr="00C24512">
        <w:rPr>
          <w:lang w:val="fr-FR"/>
        </w:rPr>
        <w:t xml:space="preserve">elle y a été autorisée par le tribunal. </w:t>
      </w:r>
      <w:r w:rsidR="00CF60C3" w:rsidRPr="00C24512">
        <w:rPr>
          <w:lang w:val="fr-FR"/>
        </w:rPr>
        <w:t>Dès lors</w:t>
      </w:r>
      <w:r w:rsidR="009C76C0" w:rsidRPr="00C24512">
        <w:rPr>
          <w:lang w:val="fr-FR"/>
        </w:rPr>
        <w:t>,</w:t>
      </w:r>
      <w:r w:rsidR="00F4605F" w:rsidRPr="00C24512">
        <w:rPr>
          <w:lang w:val="fr-FR"/>
        </w:rPr>
        <w:t xml:space="preserve"> contrairement à l</w:t>
      </w:r>
      <w:r w:rsidR="00C24512" w:rsidRPr="00C24512">
        <w:rPr>
          <w:lang w:val="fr-FR"/>
        </w:rPr>
        <w:t>’</w:t>
      </w:r>
      <w:r w:rsidR="00F4605F" w:rsidRPr="00C24512">
        <w:rPr>
          <w:lang w:val="fr-FR"/>
        </w:rPr>
        <w:t>affaire</w:t>
      </w:r>
      <w:r w:rsidR="009C76C0" w:rsidRPr="00C24512">
        <w:rPr>
          <w:lang w:val="fr-FR"/>
        </w:rPr>
        <w:t xml:space="preserve"> </w:t>
      </w:r>
      <w:r w:rsidR="008F7DEC" w:rsidRPr="00C24512">
        <w:rPr>
          <w:i/>
          <w:lang w:val="fr-FR"/>
        </w:rPr>
        <w:t>A.P., </w:t>
      </w:r>
      <w:r w:rsidR="00F4605F" w:rsidRPr="00C24512">
        <w:rPr>
          <w:i/>
          <w:lang w:val="fr-FR"/>
        </w:rPr>
        <w:t>Garçon et Nicot</w:t>
      </w:r>
      <w:r w:rsidR="00F4605F" w:rsidRPr="00C24512">
        <w:rPr>
          <w:lang w:val="fr-FR"/>
        </w:rPr>
        <w:t xml:space="preserve"> (précitée, § 135), </w:t>
      </w:r>
      <w:r w:rsidR="009C76C0" w:rsidRPr="00C24512">
        <w:rPr>
          <w:lang w:val="fr-FR"/>
        </w:rPr>
        <w:t>une atteinte au respect de l</w:t>
      </w:r>
      <w:r w:rsidR="00C24512" w:rsidRPr="00C24512">
        <w:rPr>
          <w:lang w:val="fr-FR"/>
        </w:rPr>
        <w:t>’</w:t>
      </w:r>
      <w:r w:rsidR="009C76C0" w:rsidRPr="00C24512">
        <w:rPr>
          <w:lang w:val="fr-FR"/>
        </w:rPr>
        <w:t xml:space="preserve">intégrité physique de </w:t>
      </w:r>
      <w:r w:rsidR="00D47503" w:rsidRPr="00C24512">
        <w:rPr>
          <w:lang w:val="fr-FR"/>
        </w:rPr>
        <w:t xml:space="preserve">la requérante </w:t>
      </w:r>
      <w:r w:rsidR="009C76C0" w:rsidRPr="00C24512">
        <w:rPr>
          <w:lang w:val="fr-FR"/>
        </w:rPr>
        <w:t>contraire à l</w:t>
      </w:r>
      <w:r w:rsidR="00C24512" w:rsidRPr="00C24512">
        <w:rPr>
          <w:lang w:val="fr-FR"/>
        </w:rPr>
        <w:t>’</w:t>
      </w:r>
      <w:r w:rsidR="009C76C0" w:rsidRPr="00C24512">
        <w:rPr>
          <w:lang w:val="fr-FR"/>
        </w:rPr>
        <w:t>article 8 de la Convention n</w:t>
      </w:r>
      <w:r w:rsidR="00C24512" w:rsidRPr="00C24512">
        <w:rPr>
          <w:lang w:val="fr-FR"/>
        </w:rPr>
        <w:t>’</w:t>
      </w:r>
      <w:r w:rsidR="009C76C0" w:rsidRPr="00C24512">
        <w:rPr>
          <w:lang w:val="fr-FR"/>
        </w:rPr>
        <w:t>est pas en jeu dans la présente espèce</w:t>
      </w:r>
      <w:r w:rsidR="00D47503" w:rsidRPr="00C24512">
        <w:rPr>
          <w:lang w:val="fr-FR"/>
        </w:rPr>
        <w:t>.</w:t>
      </w:r>
    </w:p>
    <w:p w:rsidR="005B5811" w:rsidRPr="00C24512" w:rsidRDefault="008012EF" w:rsidP="00C24512">
      <w:pPr>
        <w:pStyle w:val="ECHRPara"/>
        <w:rPr>
          <w:lang w:val="fr-FR"/>
        </w:rPr>
      </w:pPr>
      <w:r w:rsidRPr="00C24512">
        <w:rPr>
          <w:lang w:val="fr-FR"/>
        </w:rPr>
        <w:fldChar w:fldCharType="begin"/>
      </w:r>
      <w:r w:rsidRPr="00C24512">
        <w:rPr>
          <w:lang w:val="fr-FR"/>
        </w:rPr>
        <w:instrText xml:space="preserve"> SEQ level0 \*arabic </w:instrText>
      </w:r>
      <w:r w:rsidRPr="00C24512">
        <w:rPr>
          <w:lang w:val="fr-FR"/>
        </w:rPr>
        <w:fldChar w:fldCharType="separate"/>
      </w:r>
      <w:r w:rsidR="00C24512" w:rsidRPr="00C24512">
        <w:rPr>
          <w:noProof/>
          <w:lang w:val="fr-FR"/>
        </w:rPr>
        <w:t>66</w:t>
      </w:r>
      <w:r w:rsidRPr="00C24512">
        <w:rPr>
          <w:lang w:val="fr-FR"/>
        </w:rPr>
        <w:fldChar w:fldCharType="end"/>
      </w:r>
      <w:r w:rsidRPr="00C24512">
        <w:rPr>
          <w:lang w:val="fr-FR"/>
        </w:rPr>
        <w:t>.  </w:t>
      </w:r>
      <w:r w:rsidR="00CF60C3" w:rsidRPr="00C24512">
        <w:rPr>
          <w:lang w:val="fr-FR"/>
        </w:rPr>
        <w:t xml:space="preserve">La Cour est donc appelée à </w:t>
      </w:r>
      <w:r w:rsidR="005B5811" w:rsidRPr="00C24512">
        <w:rPr>
          <w:lang w:val="fr-FR"/>
        </w:rPr>
        <w:t>déterminer si le refus des autorités d</w:t>
      </w:r>
      <w:r w:rsidR="00C24512" w:rsidRPr="00C24512">
        <w:rPr>
          <w:lang w:val="fr-FR"/>
        </w:rPr>
        <w:t>’</w:t>
      </w:r>
      <w:r w:rsidR="005B5811" w:rsidRPr="00C24512">
        <w:rPr>
          <w:lang w:val="fr-FR"/>
        </w:rPr>
        <w:t xml:space="preserve">autoriser la requérante à changer de prénom </w:t>
      </w:r>
      <w:r w:rsidR="007F1B96" w:rsidRPr="00C24512">
        <w:rPr>
          <w:lang w:val="fr-FR"/>
        </w:rPr>
        <w:t xml:space="preserve">au cours du processus de transition </w:t>
      </w:r>
      <w:r w:rsidR="00F2484C" w:rsidRPr="00C24512">
        <w:rPr>
          <w:lang w:val="fr-FR"/>
        </w:rPr>
        <w:t xml:space="preserve">sexuelle </w:t>
      </w:r>
      <w:r w:rsidR="007F1B96" w:rsidRPr="00C24512">
        <w:rPr>
          <w:lang w:val="fr-FR"/>
        </w:rPr>
        <w:t xml:space="preserve">et </w:t>
      </w:r>
      <w:r w:rsidR="005B5811" w:rsidRPr="00C24512">
        <w:rPr>
          <w:lang w:val="fr-FR"/>
        </w:rPr>
        <w:t>avant l</w:t>
      </w:r>
      <w:r w:rsidR="00C24512" w:rsidRPr="00C24512">
        <w:rPr>
          <w:lang w:val="fr-FR"/>
        </w:rPr>
        <w:t>’</w:t>
      </w:r>
      <w:r w:rsidR="005B5811" w:rsidRPr="00C24512">
        <w:rPr>
          <w:lang w:val="fr-FR"/>
        </w:rPr>
        <w:t xml:space="preserve">aboutissement </w:t>
      </w:r>
      <w:r w:rsidR="007F1B96" w:rsidRPr="00C24512">
        <w:rPr>
          <w:lang w:val="fr-FR"/>
        </w:rPr>
        <w:t>de l</w:t>
      </w:r>
      <w:r w:rsidR="00C24512" w:rsidRPr="00C24512">
        <w:rPr>
          <w:lang w:val="fr-FR"/>
        </w:rPr>
        <w:t>’</w:t>
      </w:r>
      <w:r w:rsidR="007F1B96" w:rsidRPr="00C24512">
        <w:rPr>
          <w:lang w:val="fr-FR"/>
        </w:rPr>
        <w:t xml:space="preserve">opération de </w:t>
      </w:r>
      <w:r w:rsidR="006A23AD" w:rsidRPr="00C24512">
        <w:rPr>
          <w:lang w:val="fr-FR"/>
        </w:rPr>
        <w:t>conversion</w:t>
      </w:r>
      <w:r w:rsidR="005B5811" w:rsidRPr="00C24512">
        <w:rPr>
          <w:lang w:val="fr-FR"/>
        </w:rPr>
        <w:t xml:space="preserve"> a constitué une atteinte disproportionnée au droit de celle-ci au respect de sa vie privée.</w:t>
      </w:r>
    </w:p>
    <w:p w:rsidR="005B5811" w:rsidRPr="00C24512" w:rsidRDefault="005B5811" w:rsidP="00C24512">
      <w:pPr>
        <w:pStyle w:val="ECHRPara"/>
        <w:rPr>
          <w:lang w:val="fr-FR"/>
        </w:rPr>
      </w:pPr>
      <w:r w:rsidRPr="00C24512">
        <w:rPr>
          <w:lang w:val="fr-FR"/>
        </w:rPr>
        <w:fldChar w:fldCharType="begin"/>
      </w:r>
      <w:r w:rsidRPr="00C24512">
        <w:rPr>
          <w:lang w:val="fr-FR"/>
        </w:rPr>
        <w:instrText xml:space="preserve"> SEQ level0 \*arabic </w:instrText>
      </w:r>
      <w:r w:rsidRPr="00C24512">
        <w:rPr>
          <w:lang w:val="fr-FR"/>
        </w:rPr>
        <w:fldChar w:fldCharType="separate"/>
      </w:r>
      <w:r w:rsidR="00C24512" w:rsidRPr="00C24512">
        <w:rPr>
          <w:noProof/>
          <w:lang w:val="fr-FR"/>
        </w:rPr>
        <w:t>67</w:t>
      </w:r>
      <w:r w:rsidRPr="00C24512">
        <w:rPr>
          <w:lang w:val="fr-FR"/>
        </w:rPr>
        <w:fldChar w:fldCharType="end"/>
      </w:r>
      <w:r w:rsidRPr="00C24512">
        <w:rPr>
          <w:lang w:val="fr-FR"/>
        </w:rPr>
        <w:t>.  La Cour relève qu</w:t>
      </w:r>
      <w:r w:rsidR="00F2484C" w:rsidRPr="00C24512">
        <w:rPr>
          <w:lang w:val="fr-FR"/>
        </w:rPr>
        <w:t xml:space="preserve">e, </w:t>
      </w:r>
      <w:r w:rsidRPr="00C24512">
        <w:rPr>
          <w:lang w:val="fr-FR"/>
        </w:rPr>
        <w:t xml:space="preserve">à la suite du jugement du tribunal du 10 mai 2001 </w:t>
      </w:r>
      <w:r w:rsidR="003B74BB" w:rsidRPr="00C24512">
        <w:rPr>
          <w:lang w:val="fr-FR"/>
        </w:rPr>
        <w:t xml:space="preserve">ayant </w:t>
      </w:r>
      <w:r w:rsidRPr="00C24512">
        <w:rPr>
          <w:lang w:val="fr-FR"/>
        </w:rPr>
        <w:t>autorisé l</w:t>
      </w:r>
      <w:r w:rsidR="00C24512" w:rsidRPr="00C24512">
        <w:rPr>
          <w:lang w:val="fr-FR"/>
        </w:rPr>
        <w:t>’</w:t>
      </w:r>
      <w:r w:rsidRPr="00C24512">
        <w:rPr>
          <w:lang w:val="fr-FR"/>
        </w:rPr>
        <w:t>intervention chirurgicale, la requérante s</w:t>
      </w:r>
      <w:r w:rsidR="00C24512" w:rsidRPr="00C24512">
        <w:rPr>
          <w:lang w:val="fr-FR"/>
        </w:rPr>
        <w:t>’</w:t>
      </w:r>
      <w:r w:rsidRPr="00C24512">
        <w:rPr>
          <w:lang w:val="fr-FR"/>
        </w:rPr>
        <w:t>est vu refuser le changement de son prénom par la voie administrative au motif que toute modification du registre de l</w:t>
      </w:r>
      <w:r w:rsidR="00C24512" w:rsidRPr="00C24512">
        <w:rPr>
          <w:lang w:val="fr-FR"/>
        </w:rPr>
        <w:t>’</w:t>
      </w:r>
      <w:r w:rsidRPr="00C24512">
        <w:rPr>
          <w:lang w:val="fr-FR"/>
        </w:rPr>
        <w:t>état civil d</w:t>
      </w:r>
      <w:r w:rsidR="00C24512" w:rsidRPr="00C24512">
        <w:rPr>
          <w:lang w:val="fr-FR"/>
        </w:rPr>
        <w:t>’</w:t>
      </w:r>
      <w:r w:rsidRPr="00C24512">
        <w:rPr>
          <w:lang w:val="fr-FR"/>
        </w:rPr>
        <w:t xml:space="preserve">une personne transgenre </w:t>
      </w:r>
      <w:r w:rsidR="00F2484C" w:rsidRPr="00C24512">
        <w:rPr>
          <w:lang w:val="fr-FR"/>
        </w:rPr>
        <w:t>devait</w:t>
      </w:r>
      <w:r w:rsidRPr="00C24512">
        <w:rPr>
          <w:lang w:val="fr-FR"/>
        </w:rPr>
        <w:t xml:space="preserve"> être ordonné</w:t>
      </w:r>
      <w:r w:rsidR="003B74BB" w:rsidRPr="00C24512">
        <w:rPr>
          <w:lang w:val="fr-FR"/>
        </w:rPr>
        <w:t>e</w:t>
      </w:r>
      <w:r w:rsidRPr="00C24512">
        <w:rPr>
          <w:lang w:val="fr-FR"/>
        </w:rPr>
        <w:t xml:space="preserve"> par un juge dans le cadre de la procédure concernant la </w:t>
      </w:r>
      <w:r w:rsidR="00F44F0B" w:rsidRPr="00C24512">
        <w:rPr>
          <w:lang w:val="fr-FR"/>
        </w:rPr>
        <w:t>rectification de l</w:t>
      </w:r>
      <w:r w:rsidR="00C24512" w:rsidRPr="00C24512">
        <w:rPr>
          <w:lang w:val="fr-FR"/>
        </w:rPr>
        <w:t>’</w:t>
      </w:r>
      <w:r w:rsidR="00F44F0B" w:rsidRPr="00C24512">
        <w:rPr>
          <w:lang w:val="fr-FR"/>
        </w:rPr>
        <w:t xml:space="preserve">attribution </w:t>
      </w:r>
      <w:r w:rsidRPr="00C24512">
        <w:rPr>
          <w:lang w:val="fr-FR"/>
        </w:rPr>
        <w:t>d</w:t>
      </w:r>
      <w:r w:rsidR="00171DF3" w:rsidRPr="00C24512">
        <w:rPr>
          <w:lang w:val="fr-FR"/>
        </w:rPr>
        <w:t>u</w:t>
      </w:r>
      <w:r w:rsidRPr="00C24512">
        <w:rPr>
          <w:lang w:val="fr-FR"/>
        </w:rPr>
        <w:t xml:space="preserve"> sexe. Par conséquent, la requérante</w:t>
      </w:r>
      <w:r w:rsidR="00BB153E" w:rsidRPr="00C24512">
        <w:rPr>
          <w:lang w:val="fr-FR"/>
        </w:rPr>
        <w:t>, conformément à l</w:t>
      </w:r>
      <w:r w:rsidR="00C24512" w:rsidRPr="00C24512">
        <w:rPr>
          <w:lang w:val="fr-FR"/>
        </w:rPr>
        <w:t>’</w:t>
      </w:r>
      <w:r w:rsidR="00BB153E" w:rsidRPr="00C24512">
        <w:rPr>
          <w:lang w:val="fr-FR"/>
        </w:rPr>
        <w:t>article 3 de la loi n</w:t>
      </w:r>
      <w:r w:rsidR="00671DC4" w:rsidRPr="00C24512">
        <w:rPr>
          <w:vertAlign w:val="superscript"/>
          <w:lang w:val="fr-FR"/>
        </w:rPr>
        <w:t>o</w:t>
      </w:r>
      <w:r w:rsidR="00BB153E" w:rsidRPr="00C24512">
        <w:rPr>
          <w:lang w:val="fr-FR"/>
        </w:rPr>
        <w:t xml:space="preserve"> 164 de 2000 tel qu</w:t>
      </w:r>
      <w:r w:rsidR="00C24512" w:rsidRPr="00C24512">
        <w:rPr>
          <w:lang w:val="fr-FR"/>
        </w:rPr>
        <w:t>’</w:t>
      </w:r>
      <w:r w:rsidR="00BB153E" w:rsidRPr="00C24512">
        <w:rPr>
          <w:lang w:val="fr-FR"/>
        </w:rPr>
        <w:t>en vigueur à l</w:t>
      </w:r>
      <w:r w:rsidR="00C24512" w:rsidRPr="00C24512">
        <w:rPr>
          <w:lang w:val="fr-FR"/>
        </w:rPr>
        <w:t>’</w:t>
      </w:r>
      <w:r w:rsidR="00BB153E" w:rsidRPr="00C24512">
        <w:rPr>
          <w:lang w:val="fr-FR"/>
        </w:rPr>
        <w:t>époque,</w:t>
      </w:r>
      <w:r w:rsidRPr="00C24512">
        <w:rPr>
          <w:lang w:val="fr-FR"/>
        </w:rPr>
        <w:t xml:space="preserve"> a dû attendre que le tribunal constate l</w:t>
      </w:r>
      <w:r w:rsidR="00BB4B45" w:rsidRPr="00C24512">
        <w:rPr>
          <w:lang w:val="fr-FR"/>
        </w:rPr>
        <w:t>a réalisation</w:t>
      </w:r>
      <w:r w:rsidRPr="00C24512">
        <w:rPr>
          <w:lang w:val="fr-FR"/>
        </w:rPr>
        <w:t xml:space="preserve"> de l</w:t>
      </w:r>
      <w:r w:rsidR="00C24512" w:rsidRPr="00C24512">
        <w:rPr>
          <w:lang w:val="fr-FR"/>
        </w:rPr>
        <w:t>’</w:t>
      </w:r>
      <w:r w:rsidRPr="00C24512">
        <w:rPr>
          <w:lang w:val="fr-FR"/>
        </w:rPr>
        <w:t xml:space="preserve">opération et se prononce définitivement sur son identité sexuelle, ce </w:t>
      </w:r>
      <w:r w:rsidR="003B74BB" w:rsidRPr="00C24512">
        <w:rPr>
          <w:lang w:val="fr-FR"/>
        </w:rPr>
        <w:t xml:space="preserve">qui </w:t>
      </w:r>
      <w:r w:rsidR="00F2484C" w:rsidRPr="00C24512">
        <w:rPr>
          <w:lang w:val="fr-FR"/>
        </w:rPr>
        <w:t xml:space="preserve">a </w:t>
      </w:r>
      <w:r w:rsidR="00585EF1" w:rsidRPr="00C24512">
        <w:rPr>
          <w:lang w:val="fr-FR"/>
        </w:rPr>
        <w:t>eu lieu seulement</w:t>
      </w:r>
      <w:r w:rsidRPr="00C24512">
        <w:rPr>
          <w:lang w:val="fr-FR"/>
        </w:rPr>
        <w:t xml:space="preserve"> </w:t>
      </w:r>
      <w:r w:rsidR="00585EF1" w:rsidRPr="00C24512">
        <w:rPr>
          <w:lang w:val="fr-FR"/>
        </w:rPr>
        <w:t>le</w:t>
      </w:r>
      <w:r w:rsidRPr="00C24512">
        <w:rPr>
          <w:lang w:val="fr-FR"/>
        </w:rPr>
        <w:t xml:space="preserve"> 10</w:t>
      </w:r>
      <w:r w:rsidR="00B12287" w:rsidRPr="00C24512">
        <w:rPr>
          <w:lang w:val="fr-FR"/>
        </w:rPr>
        <w:t> </w:t>
      </w:r>
      <w:r w:rsidRPr="00C24512">
        <w:rPr>
          <w:lang w:val="fr-FR"/>
        </w:rPr>
        <w:t>octobre 2003.</w:t>
      </w:r>
    </w:p>
    <w:p w:rsidR="00BB153E" w:rsidRPr="00C24512" w:rsidRDefault="005B5811" w:rsidP="00C24512">
      <w:pPr>
        <w:pStyle w:val="ECHRPara"/>
        <w:rPr>
          <w:lang w:val="fr-FR"/>
        </w:rPr>
      </w:pPr>
      <w:r w:rsidRPr="00C24512">
        <w:rPr>
          <w:lang w:val="fr-FR"/>
        </w:rPr>
        <w:fldChar w:fldCharType="begin"/>
      </w:r>
      <w:r w:rsidRPr="00C24512">
        <w:rPr>
          <w:lang w:val="fr-FR"/>
        </w:rPr>
        <w:instrText xml:space="preserve"> SEQ level0 \*arabic </w:instrText>
      </w:r>
      <w:r w:rsidRPr="00C24512">
        <w:rPr>
          <w:lang w:val="fr-FR"/>
        </w:rPr>
        <w:fldChar w:fldCharType="separate"/>
      </w:r>
      <w:r w:rsidR="00C24512" w:rsidRPr="00C24512">
        <w:rPr>
          <w:noProof/>
          <w:lang w:val="fr-FR"/>
        </w:rPr>
        <w:t>68</w:t>
      </w:r>
      <w:r w:rsidRPr="00C24512">
        <w:rPr>
          <w:lang w:val="fr-FR"/>
        </w:rPr>
        <w:fldChar w:fldCharType="end"/>
      </w:r>
      <w:r w:rsidRPr="00C24512">
        <w:rPr>
          <w:lang w:val="fr-FR"/>
        </w:rPr>
        <w:t>.  </w:t>
      </w:r>
      <w:r w:rsidR="00BB153E" w:rsidRPr="00C24512">
        <w:rPr>
          <w:lang w:val="fr-FR"/>
        </w:rPr>
        <w:t>La</w:t>
      </w:r>
      <w:r w:rsidRPr="00C24512">
        <w:rPr>
          <w:lang w:val="fr-FR"/>
        </w:rPr>
        <w:t xml:space="preserve"> Cour </w:t>
      </w:r>
      <w:r w:rsidR="00B12287" w:rsidRPr="00C24512">
        <w:rPr>
          <w:lang w:val="fr-FR"/>
        </w:rPr>
        <w:t>souligne</w:t>
      </w:r>
      <w:r w:rsidR="00BB153E" w:rsidRPr="00C24512">
        <w:rPr>
          <w:lang w:val="fr-FR"/>
        </w:rPr>
        <w:t xml:space="preserve"> qu</w:t>
      </w:r>
      <w:r w:rsidR="00C24512" w:rsidRPr="00C24512">
        <w:rPr>
          <w:lang w:val="fr-FR"/>
        </w:rPr>
        <w:t>’</w:t>
      </w:r>
      <w:r w:rsidR="00BB153E" w:rsidRPr="00C24512">
        <w:rPr>
          <w:lang w:val="fr-FR"/>
        </w:rPr>
        <w:t xml:space="preserve">elle </w:t>
      </w:r>
      <w:r w:rsidRPr="00C24512">
        <w:rPr>
          <w:lang w:val="fr-FR"/>
        </w:rPr>
        <w:t>n</w:t>
      </w:r>
      <w:r w:rsidR="00C24512" w:rsidRPr="00C24512">
        <w:rPr>
          <w:lang w:val="fr-FR"/>
        </w:rPr>
        <w:t>’</w:t>
      </w:r>
      <w:r w:rsidRPr="00C24512">
        <w:rPr>
          <w:lang w:val="fr-FR"/>
        </w:rPr>
        <w:t xml:space="preserve">a point pour tâche de se substituer aux autorités nationales compétentes pour définir la politique la plus opportune </w:t>
      </w:r>
      <w:r w:rsidRPr="00C24512">
        <w:rPr>
          <w:lang w:val="fr-FR"/>
        </w:rPr>
        <w:lastRenderedPageBreak/>
        <w:t>en matière de réglementation de changement des prénoms des personnes transsexuelles, mais d</w:t>
      </w:r>
      <w:r w:rsidR="00C24512" w:rsidRPr="00C24512">
        <w:rPr>
          <w:lang w:val="fr-FR"/>
        </w:rPr>
        <w:t>’</w:t>
      </w:r>
      <w:r w:rsidRPr="00C24512">
        <w:rPr>
          <w:lang w:val="fr-FR"/>
        </w:rPr>
        <w:t>apprécier sous l</w:t>
      </w:r>
      <w:r w:rsidR="00C24512" w:rsidRPr="00C24512">
        <w:rPr>
          <w:lang w:val="fr-FR"/>
        </w:rPr>
        <w:t>’</w:t>
      </w:r>
      <w:r w:rsidRPr="00C24512">
        <w:rPr>
          <w:lang w:val="fr-FR"/>
        </w:rPr>
        <w:t>angle de la Convention les décisions qu</w:t>
      </w:r>
      <w:r w:rsidR="009618D6" w:rsidRPr="00C24512">
        <w:rPr>
          <w:lang w:val="fr-FR"/>
        </w:rPr>
        <w:t>e c</w:t>
      </w:r>
      <w:r w:rsidRPr="00C24512">
        <w:rPr>
          <w:lang w:val="fr-FR"/>
        </w:rPr>
        <w:t>elles</w:t>
      </w:r>
      <w:r w:rsidR="009618D6" w:rsidRPr="00C24512">
        <w:rPr>
          <w:lang w:val="fr-FR"/>
        </w:rPr>
        <w:t>-ci</w:t>
      </w:r>
      <w:r w:rsidRPr="00C24512">
        <w:rPr>
          <w:lang w:val="fr-FR"/>
        </w:rPr>
        <w:t xml:space="preserve"> ont rendues dans l</w:t>
      </w:r>
      <w:r w:rsidR="00C24512" w:rsidRPr="00C24512">
        <w:rPr>
          <w:lang w:val="fr-FR"/>
        </w:rPr>
        <w:t>’</w:t>
      </w:r>
      <w:r w:rsidRPr="00C24512">
        <w:rPr>
          <w:lang w:val="fr-FR"/>
        </w:rPr>
        <w:t>exercice de leur pouvoir d</w:t>
      </w:r>
      <w:r w:rsidR="00C24512" w:rsidRPr="00C24512">
        <w:rPr>
          <w:lang w:val="fr-FR"/>
        </w:rPr>
        <w:t>’</w:t>
      </w:r>
      <w:r w:rsidR="00BB153E" w:rsidRPr="00C24512">
        <w:rPr>
          <w:lang w:val="fr-FR"/>
        </w:rPr>
        <w:t>appréciation.</w:t>
      </w:r>
    </w:p>
    <w:p w:rsidR="005B5811" w:rsidRPr="00C24512" w:rsidRDefault="00BB153E" w:rsidP="00C24512">
      <w:pPr>
        <w:pStyle w:val="ECHRPara"/>
        <w:rPr>
          <w:lang w:val="fr-FR"/>
        </w:rPr>
      </w:pPr>
      <w:r w:rsidRPr="00C24512">
        <w:rPr>
          <w:lang w:val="fr-FR"/>
        </w:rPr>
        <w:fldChar w:fldCharType="begin"/>
      </w:r>
      <w:r w:rsidRPr="00C24512">
        <w:rPr>
          <w:lang w:val="fr-FR"/>
        </w:rPr>
        <w:instrText xml:space="preserve"> SEQ level0 \*arabic </w:instrText>
      </w:r>
      <w:r w:rsidRPr="00C24512">
        <w:rPr>
          <w:lang w:val="fr-FR"/>
        </w:rPr>
        <w:fldChar w:fldCharType="separate"/>
      </w:r>
      <w:r w:rsidR="00C24512" w:rsidRPr="00C24512">
        <w:rPr>
          <w:noProof/>
          <w:lang w:val="fr-FR"/>
        </w:rPr>
        <w:t>69</w:t>
      </w:r>
      <w:r w:rsidRPr="00C24512">
        <w:rPr>
          <w:lang w:val="fr-FR"/>
        </w:rPr>
        <w:fldChar w:fldCharType="end"/>
      </w:r>
      <w:r w:rsidRPr="00C24512">
        <w:rPr>
          <w:lang w:val="fr-FR"/>
        </w:rPr>
        <w:t>.  Dès lors</w:t>
      </w:r>
      <w:r w:rsidR="005B5811" w:rsidRPr="00C24512">
        <w:rPr>
          <w:lang w:val="fr-FR"/>
        </w:rPr>
        <w:t xml:space="preserve">, elle ne met pas en cause le choix du législateur italien </w:t>
      </w:r>
      <w:r w:rsidRPr="00C24512">
        <w:rPr>
          <w:lang w:val="fr-FR"/>
        </w:rPr>
        <w:t xml:space="preserve">en soi </w:t>
      </w:r>
      <w:r w:rsidR="005B5811" w:rsidRPr="00C24512">
        <w:rPr>
          <w:lang w:val="fr-FR"/>
        </w:rPr>
        <w:t>de confier à l</w:t>
      </w:r>
      <w:r w:rsidR="00C24512" w:rsidRPr="00C24512">
        <w:rPr>
          <w:lang w:val="fr-FR"/>
        </w:rPr>
        <w:t>’</w:t>
      </w:r>
      <w:r w:rsidR="005B5811" w:rsidRPr="00C24512">
        <w:rPr>
          <w:lang w:val="fr-FR"/>
        </w:rPr>
        <w:t>autorité judiciaire plutôt qu</w:t>
      </w:r>
      <w:r w:rsidR="00C24512" w:rsidRPr="00C24512">
        <w:rPr>
          <w:lang w:val="fr-FR"/>
        </w:rPr>
        <w:t>’</w:t>
      </w:r>
      <w:r w:rsidR="005B5811" w:rsidRPr="00C24512">
        <w:rPr>
          <w:lang w:val="fr-FR"/>
        </w:rPr>
        <w:t>à l</w:t>
      </w:r>
      <w:r w:rsidR="00C24512" w:rsidRPr="00C24512">
        <w:rPr>
          <w:lang w:val="fr-FR"/>
        </w:rPr>
        <w:t>’</w:t>
      </w:r>
      <w:r w:rsidR="005B5811" w:rsidRPr="00C24512">
        <w:rPr>
          <w:lang w:val="fr-FR"/>
        </w:rPr>
        <w:t xml:space="preserve">autorité administrative les décisions en matière de changement de registre </w:t>
      </w:r>
      <w:r w:rsidR="00F34A28" w:rsidRPr="00C24512">
        <w:rPr>
          <w:lang w:val="fr-FR"/>
        </w:rPr>
        <w:t>d</w:t>
      </w:r>
      <w:r w:rsidR="00C24512" w:rsidRPr="00C24512">
        <w:rPr>
          <w:lang w:val="fr-FR"/>
        </w:rPr>
        <w:t>’</w:t>
      </w:r>
      <w:r w:rsidR="00F34A28" w:rsidRPr="00C24512">
        <w:rPr>
          <w:lang w:val="fr-FR"/>
        </w:rPr>
        <w:t xml:space="preserve">état </w:t>
      </w:r>
      <w:r w:rsidR="005B5811" w:rsidRPr="00C24512">
        <w:rPr>
          <w:lang w:val="fr-FR"/>
        </w:rPr>
        <w:t>civil des personnes transsexuelles. De plus, la Cour admet pleinement que la préservation du principe de l</w:t>
      </w:r>
      <w:r w:rsidR="00C24512" w:rsidRPr="00C24512">
        <w:rPr>
          <w:lang w:val="fr-FR"/>
        </w:rPr>
        <w:t>’</w:t>
      </w:r>
      <w:r w:rsidR="005B5811" w:rsidRPr="00C24512">
        <w:rPr>
          <w:lang w:val="fr-FR"/>
        </w:rPr>
        <w:t>indisponibilité de l</w:t>
      </w:r>
      <w:r w:rsidR="00C24512" w:rsidRPr="00C24512">
        <w:rPr>
          <w:lang w:val="fr-FR"/>
        </w:rPr>
        <w:t>’</w:t>
      </w:r>
      <w:r w:rsidR="005B5811" w:rsidRPr="00C24512">
        <w:rPr>
          <w:lang w:val="fr-FR"/>
        </w:rPr>
        <w:t>état des personnes, de la garantie de la fiabilité et de la cohérence de l</w:t>
      </w:r>
      <w:r w:rsidR="00C24512" w:rsidRPr="00C24512">
        <w:rPr>
          <w:lang w:val="fr-FR"/>
        </w:rPr>
        <w:t>’</w:t>
      </w:r>
      <w:r w:rsidR="005B5811" w:rsidRPr="00C24512">
        <w:rPr>
          <w:lang w:val="fr-FR"/>
        </w:rPr>
        <w:t>état civil</w:t>
      </w:r>
      <w:r w:rsidR="005B5811" w:rsidRPr="00C24512">
        <w:rPr>
          <w:b/>
          <w:lang w:val="fr-FR"/>
        </w:rPr>
        <w:t xml:space="preserve"> </w:t>
      </w:r>
      <w:r w:rsidR="005B5811" w:rsidRPr="00C24512">
        <w:rPr>
          <w:lang w:val="fr-FR"/>
        </w:rPr>
        <w:t>et, plus largement, de l</w:t>
      </w:r>
      <w:r w:rsidR="00C24512" w:rsidRPr="00C24512">
        <w:rPr>
          <w:lang w:val="fr-FR"/>
        </w:rPr>
        <w:t>’</w:t>
      </w:r>
      <w:r w:rsidR="005B5811" w:rsidRPr="00C24512">
        <w:rPr>
          <w:lang w:val="fr-FR"/>
        </w:rPr>
        <w:t>exigence de sécurité juridique relève de l</w:t>
      </w:r>
      <w:r w:rsidR="00C24512" w:rsidRPr="00C24512">
        <w:rPr>
          <w:lang w:val="fr-FR"/>
        </w:rPr>
        <w:t>’</w:t>
      </w:r>
      <w:r w:rsidR="005B5811" w:rsidRPr="00C24512">
        <w:rPr>
          <w:lang w:val="fr-FR"/>
        </w:rPr>
        <w:t xml:space="preserve">intérêt général et justifie la mise en place de procédures rigoureuses </w:t>
      </w:r>
      <w:r w:rsidRPr="00C24512">
        <w:rPr>
          <w:lang w:val="fr-FR"/>
        </w:rPr>
        <w:t>dans le but notamment de vérifier les motivations profondes d</w:t>
      </w:r>
      <w:r w:rsidR="00C24512" w:rsidRPr="00C24512">
        <w:rPr>
          <w:lang w:val="fr-FR"/>
        </w:rPr>
        <w:t>’</w:t>
      </w:r>
      <w:r w:rsidRPr="00C24512">
        <w:rPr>
          <w:lang w:val="fr-FR"/>
        </w:rPr>
        <w:t>une demande de changement légal d</w:t>
      </w:r>
      <w:r w:rsidR="00C24512" w:rsidRPr="00C24512">
        <w:rPr>
          <w:lang w:val="fr-FR"/>
        </w:rPr>
        <w:t>’</w:t>
      </w:r>
      <w:r w:rsidRPr="00C24512">
        <w:rPr>
          <w:lang w:val="fr-FR"/>
        </w:rPr>
        <w:t xml:space="preserve">identité </w:t>
      </w:r>
      <w:r w:rsidR="005B5811" w:rsidRPr="00C24512">
        <w:rPr>
          <w:lang w:val="fr-FR"/>
        </w:rPr>
        <w:t>(</w:t>
      </w:r>
      <w:r w:rsidR="009618D6" w:rsidRPr="00C24512">
        <w:rPr>
          <w:lang w:val="fr-FR"/>
        </w:rPr>
        <w:t xml:space="preserve">voir, </w:t>
      </w:r>
      <w:r w:rsidR="005B5811" w:rsidRPr="00C24512">
        <w:rPr>
          <w:i/>
          <w:lang w:val="fr-FR"/>
        </w:rPr>
        <w:t>mutatis mutandis</w:t>
      </w:r>
      <w:r w:rsidR="005B5811" w:rsidRPr="00C24512">
        <w:rPr>
          <w:lang w:val="fr-FR"/>
        </w:rPr>
        <w:t xml:space="preserve">, </w:t>
      </w:r>
      <w:r w:rsidR="009618D6" w:rsidRPr="00C24512">
        <w:rPr>
          <w:i/>
          <w:lang w:val="fr-FR"/>
        </w:rPr>
        <w:t xml:space="preserve">A.P., </w:t>
      </w:r>
      <w:r w:rsidR="005B5811" w:rsidRPr="00C24512">
        <w:rPr>
          <w:i/>
          <w:lang w:val="fr-FR"/>
        </w:rPr>
        <w:t>Garçon et Nicot</w:t>
      </w:r>
      <w:r w:rsidR="005B5811" w:rsidRPr="00C24512">
        <w:rPr>
          <w:lang w:val="fr-FR"/>
        </w:rPr>
        <w:t>, précité, § 142).</w:t>
      </w:r>
    </w:p>
    <w:p w:rsidR="00671DC4" w:rsidRPr="00C24512" w:rsidRDefault="005B5811" w:rsidP="00C24512">
      <w:pPr>
        <w:pStyle w:val="ECHRPara"/>
        <w:rPr>
          <w:lang w:val="fr-FR"/>
        </w:rPr>
      </w:pPr>
      <w:r w:rsidRPr="00C24512">
        <w:rPr>
          <w:lang w:val="fr-FR"/>
        </w:rPr>
        <w:fldChar w:fldCharType="begin"/>
      </w:r>
      <w:r w:rsidRPr="00C24512">
        <w:rPr>
          <w:lang w:val="fr-FR"/>
        </w:rPr>
        <w:instrText xml:space="preserve"> SEQ level0 \*arabic </w:instrText>
      </w:r>
      <w:r w:rsidRPr="00C24512">
        <w:rPr>
          <w:lang w:val="fr-FR"/>
        </w:rPr>
        <w:fldChar w:fldCharType="separate"/>
      </w:r>
      <w:r w:rsidR="00C24512" w:rsidRPr="00C24512">
        <w:rPr>
          <w:noProof/>
          <w:lang w:val="fr-FR"/>
        </w:rPr>
        <w:t>70</w:t>
      </w:r>
      <w:r w:rsidRPr="00C24512">
        <w:rPr>
          <w:lang w:val="fr-FR"/>
        </w:rPr>
        <w:fldChar w:fldCharType="end"/>
      </w:r>
      <w:r w:rsidRPr="00C24512">
        <w:rPr>
          <w:lang w:val="fr-FR"/>
        </w:rPr>
        <w:t>.  </w:t>
      </w:r>
      <w:r w:rsidR="00E2322E" w:rsidRPr="00C24512">
        <w:rPr>
          <w:lang w:val="fr-FR"/>
        </w:rPr>
        <w:t xml:space="preserve">Toutefois, la Cour ne peut que constater que </w:t>
      </w:r>
      <w:r w:rsidR="006D2968" w:rsidRPr="00C24512">
        <w:rPr>
          <w:lang w:val="fr-FR"/>
        </w:rPr>
        <w:t>le rejet de la demande</w:t>
      </w:r>
      <w:r w:rsidR="00671DC4" w:rsidRPr="00C24512">
        <w:rPr>
          <w:lang w:val="fr-FR"/>
        </w:rPr>
        <w:t xml:space="preserve"> </w:t>
      </w:r>
      <w:r w:rsidRPr="00C24512">
        <w:rPr>
          <w:lang w:val="fr-FR"/>
        </w:rPr>
        <w:t xml:space="preserve">de la requérante </w:t>
      </w:r>
      <w:r w:rsidR="00064F20" w:rsidRPr="00C24512">
        <w:rPr>
          <w:lang w:val="fr-FR"/>
        </w:rPr>
        <w:t>a été</w:t>
      </w:r>
      <w:r w:rsidR="006D2968" w:rsidRPr="00C24512">
        <w:rPr>
          <w:lang w:val="fr-FR"/>
        </w:rPr>
        <w:t xml:space="preserve"> basé sur des arguments purement </w:t>
      </w:r>
      <w:r w:rsidR="0084211D" w:rsidRPr="00C24512">
        <w:rPr>
          <w:lang w:val="fr-FR"/>
        </w:rPr>
        <w:t>formels</w:t>
      </w:r>
      <w:r w:rsidR="00982791" w:rsidRPr="00C24512">
        <w:rPr>
          <w:lang w:val="fr-FR"/>
        </w:rPr>
        <w:t xml:space="preserve"> </w:t>
      </w:r>
      <w:r w:rsidR="006D2968" w:rsidRPr="00C24512">
        <w:rPr>
          <w:lang w:val="fr-FR"/>
        </w:rPr>
        <w:t>ne pren</w:t>
      </w:r>
      <w:r w:rsidR="00982791" w:rsidRPr="00C24512">
        <w:rPr>
          <w:lang w:val="fr-FR"/>
        </w:rPr>
        <w:t>ant</w:t>
      </w:r>
      <w:r w:rsidR="006D2968" w:rsidRPr="00C24512">
        <w:rPr>
          <w:lang w:val="fr-FR"/>
        </w:rPr>
        <w:t xml:space="preserve"> </w:t>
      </w:r>
      <w:r w:rsidR="00504B17" w:rsidRPr="00C24512">
        <w:rPr>
          <w:lang w:val="fr-FR"/>
        </w:rPr>
        <w:t>nullement e</w:t>
      </w:r>
      <w:r w:rsidR="006D2968" w:rsidRPr="00C24512">
        <w:rPr>
          <w:lang w:val="fr-FR"/>
        </w:rPr>
        <w:t xml:space="preserve">n compte </w:t>
      </w:r>
      <w:r w:rsidR="00504B17" w:rsidRPr="00C24512">
        <w:rPr>
          <w:lang w:val="fr-FR"/>
        </w:rPr>
        <w:t>la situation concrète de l</w:t>
      </w:r>
      <w:r w:rsidR="00C24512" w:rsidRPr="00C24512">
        <w:rPr>
          <w:lang w:val="fr-FR"/>
        </w:rPr>
        <w:t>’</w:t>
      </w:r>
      <w:r w:rsidR="00504B17" w:rsidRPr="00C24512">
        <w:rPr>
          <w:lang w:val="fr-FR"/>
        </w:rPr>
        <w:t xml:space="preserve">intéressée. Ainsi, </w:t>
      </w:r>
      <w:r w:rsidR="006D2968" w:rsidRPr="00C24512">
        <w:rPr>
          <w:lang w:val="fr-FR"/>
        </w:rPr>
        <w:t xml:space="preserve">les autorités </w:t>
      </w:r>
      <w:r w:rsidR="00504B17" w:rsidRPr="00C24512">
        <w:rPr>
          <w:lang w:val="fr-FR"/>
        </w:rPr>
        <w:t>n</w:t>
      </w:r>
      <w:r w:rsidR="00C24512" w:rsidRPr="00C24512">
        <w:rPr>
          <w:lang w:val="fr-FR"/>
        </w:rPr>
        <w:t>’</w:t>
      </w:r>
      <w:r w:rsidR="00504B17" w:rsidRPr="00C24512">
        <w:rPr>
          <w:lang w:val="fr-FR"/>
        </w:rPr>
        <w:t>ont</w:t>
      </w:r>
      <w:r w:rsidR="006D2968" w:rsidRPr="00C24512">
        <w:rPr>
          <w:lang w:val="fr-FR"/>
        </w:rPr>
        <w:t xml:space="preserve"> pas </w:t>
      </w:r>
      <w:r w:rsidR="00064F20" w:rsidRPr="00C24512">
        <w:rPr>
          <w:lang w:val="fr-FR"/>
        </w:rPr>
        <w:t xml:space="preserve">considéré </w:t>
      </w:r>
      <w:r w:rsidR="00BB153E" w:rsidRPr="00C24512">
        <w:rPr>
          <w:lang w:val="fr-FR"/>
        </w:rPr>
        <w:t>que celle-ci</w:t>
      </w:r>
      <w:r w:rsidR="00064F20" w:rsidRPr="00C24512">
        <w:rPr>
          <w:lang w:val="fr-FR"/>
        </w:rPr>
        <w:t xml:space="preserve"> avait entrepris un parcours de transition sexuelle depuis </w:t>
      </w:r>
      <w:r w:rsidR="0084211D" w:rsidRPr="00C24512">
        <w:rPr>
          <w:lang w:val="fr-FR"/>
        </w:rPr>
        <w:t>des</w:t>
      </w:r>
      <w:r w:rsidR="00064F20" w:rsidRPr="00C24512">
        <w:rPr>
          <w:lang w:val="fr-FR"/>
        </w:rPr>
        <w:t xml:space="preserve"> années et que son apparence physique</w:t>
      </w:r>
      <w:r w:rsidR="009618D6" w:rsidRPr="00C24512">
        <w:rPr>
          <w:lang w:val="fr-FR"/>
        </w:rPr>
        <w:t>,</w:t>
      </w:r>
      <w:r w:rsidR="00064F20" w:rsidRPr="00C24512">
        <w:rPr>
          <w:lang w:val="fr-FR"/>
        </w:rPr>
        <w:t xml:space="preserve"> </w:t>
      </w:r>
      <w:r w:rsidR="00F67612" w:rsidRPr="00C24512">
        <w:rPr>
          <w:lang w:val="fr-FR"/>
        </w:rPr>
        <w:t>de même</w:t>
      </w:r>
      <w:r w:rsidR="001A1123" w:rsidRPr="00C24512">
        <w:rPr>
          <w:lang w:val="fr-FR"/>
        </w:rPr>
        <w:t xml:space="preserve"> que son ident</w:t>
      </w:r>
      <w:r w:rsidR="00585EF1" w:rsidRPr="00C24512">
        <w:rPr>
          <w:lang w:val="fr-FR"/>
        </w:rPr>
        <w:t>ité sociale</w:t>
      </w:r>
      <w:r w:rsidR="009618D6" w:rsidRPr="00C24512">
        <w:rPr>
          <w:lang w:val="fr-FR"/>
        </w:rPr>
        <w:t>,</w:t>
      </w:r>
      <w:r w:rsidR="00585EF1" w:rsidRPr="00C24512">
        <w:rPr>
          <w:lang w:val="fr-FR"/>
        </w:rPr>
        <w:t xml:space="preserve"> était déjà féminine depuis longtemps.</w:t>
      </w:r>
    </w:p>
    <w:p w:rsidR="001A1123" w:rsidRPr="00C24512" w:rsidRDefault="00982791" w:rsidP="00C24512">
      <w:pPr>
        <w:pStyle w:val="ECHRPara"/>
        <w:rPr>
          <w:lang w:val="fr-FR"/>
        </w:rPr>
      </w:pPr>
      <w:r w:rsidRPr="00C24512">
        <w:rPr>
          <w:lang w:val="fr-FR"/>
        </w:rPr>
        <w:fldChar w:fldCharType="begin"/>
      </w:r>
      <w:r w:rsidRPr="00C24512">
        <w:rPr>
          <w:lang w:val="fr-FR"/>
        </w:rPr>
        <w:instrText xml:space="preserve"> SEQ level0 \*arabic </w:instrText>
      </w:r>
      <w:r w:rsidRPr="00C24512">
        <w:rPr>
          <w:lang w:val="fr-FR"/>
        </w:rPr>
        <w:fldChar w:fldCharType="separate"/>
      </w:r>
      <w:r w:rsidR="00C24512" w:rsidRPr="00C24512">
        <w:rPr>
          <w:noProof/>
          <w:lang w:val="fr-FR"/>
        </w:rPr>
        <w:t>71</w:t>
      </w:r>
      <w:r w:rsidRPr="00C24512">
        <w:rPr>
          <w:lang w:val="fr-FR"/>
        </w:rPr>
        <w:fldChar w:fldCharType="end"/>
      </w:r>
      <w:r w:rsidRPr="00C24512">
        <w:rPr>
          <w:lang w:val="fr-FR"/>
        </w:rPr>
        <w:t>.  </w:t>
      </w:r>
      <w:r w:rsidR="00AE0992" w:rsidRPr="00C24512">
        <w:rPr>
          <w:lang w:val="fr-FR"/>
        </w:rPr>
        <w:t>Dans les circonstances de l</w:t>
      </w:r>
      <w:r w:rsidR="00C24512" w:rsidRPr="00C24512">
        <w:rPr>
          <w:lang w:val="fr-FR"/>
        </w:rPr>
        <w:t>’</w:t>
      </w:r>
      <w:r w:rsidR="00AE0992" w:rsidRPr="00C24512">
        <w:rPr>
          <w:lang w:val="fr-FR"/>
        </w:rPr>
        <w:t xml:space="preserve">espèce, la Cour voit mal </w:t>
      </w:r>
      <w:r w:rsidR="009618D6" w:rsidRPr="00C24512">
        <w:rPr>
          <w:lang w:val="fr-FR"/>
        </w:rPr>
        <w:t>quel</w:t>
      </w:r>
      <w:r w:rsidR="00071AE1" w:rsidRPr="00C24512">
        <w:rPr>
          <w:lang w:val="fr-FR"/>
        </w:rPr>
        <w:t>les raisons d</w:t>
      </w:r>
      <w:r w:rsidR="00C24512" w:rsidRPr="00C24512">
        <w:rPr>
          <w:lang w:val="fr-FR"/>
        </w:rPr>
        <w:t>’</w:t>
      </w:r>
      <w:r w:rsidR="00071AE1" w:rsidRPr="00C24512">
        <w:rPr>
          <w:lang w:val="fr-FR"/>
        </w:rPr>
        <w:t>intérêt général</w:t>
      </w:r>
      <w:r w:rsidRPr="00C24512">
        <w:rPr>
          <w:lang w:val="fr-FR"/>
        </w:rPr>
        <w:t xml:space="preserve"> </w:t>
      </w:r>
      <w:r w:rsidR="009618D6" w:rsidRPr="00C24512">
        <w:rPr>
          <w:lang w:val="fr-FR"/>
        </w:rPr>
        <w:t>ont pu</w:t>
      </w:r>
      <w:r w:rsidRPr="00C24512">
        <w:rPr>
          <w:lang w:val="fr-FR"/>
        </w:rPr>
        <w:t xml:space="preserve"> </w:t>
      </w:r>
      <w:r w:rsidR="00071AE1" w:rsidRPr="00C24512">
        <w:rPr>
          <w:lang w:val="fr-FR"/>
        </w:rPr>
        <w:t>empêch</w:t>
      </w:r>
      <w:r w:rsidR="009618D6" w:rsidRPr="00C24512">
        <w:rPr>
          <w:lang w:val="fr-FR"/>
        </w:rPr>
        <w:t>er</w:t>
      </w:r>
      <w:r w:rsidRPr="00C24512">
        <w:rPr>
          <w:lang w:val="fr-FR"/>
        </w:rPr>
        <w:t xml:space="preserve"> </w:t>
      </w:r>
      <w:r w:rsidR="00AE0992" w:rsidRPr="00C24512">
        <w:rPr>
          <w:lang w:val="fr-FR"/>
        </w:rPr>
        <w:t xml:space="preserve">pendant plus de deux ans et demi </w:t>
      </w:r>
      <w:r w:rsidR="00071AE1" w:rsidRPr="00C24512">
        <w:rPr>
          <w:lang w:val="fr-FR"/>
        </w:rPr>
        <w:t>l</w:t>
      </w:r>
      <w:r w:rsidR="00A40E5B" w:rsidRPr="00C24512">
        <w:rPr>
          <w:lang w:val="fr-FR"/>
        </w:rPr>
        <w:t xml:space="preserve">a mise en </w:t>
      </w:r>
      <w:r w:rsidR="00071AE1" w:rsidRPr="00C24512">
        <w:rPr>
          <w:lang w:val="fr-FR"/>
        </w:rPr>
        <w:t xml:space="preserve">adéquation du prénom figurant sur les documents officiels de la requérante avec la réalité </w:t>
      </w:r>
      <w:r w:rsidRPr="00C24512">
        <w:rPr>
          <w:lang w:val="fr-FR"/>
        </w:rPr>
        <w:t xml:space="preserve">de la situation </w:t>
      </w:r>
      <w:r w:rsidR="00DD0AEE" w:rsidRPr="00C24512">
        <w:rPr>
          <w:lang w:val="fr-FR"/>
        </w:rPr>
        <w:t xml:space="preserve">sociale </w:t>
      </w:r>
      <w:r w:rsidRPr="00C24512">
        <w:rPr>
          <w:lang w:val="fr-FR"/>
        </w:rPr>
        <w:t>de celle-ci,</w:t>
      </w:r>
      <w:r w:rsidR="00AE0992" w:rsidRPr="00C24512">
        <w:rPr>
          <w:lang w:val="fr-FR"/>
        </w:rPr>
        <w:t xml:space="preserve"> </w:t>
      </w:r>
      <w:r w:rsidR="008A25DB" w:rsidRPr="00C24512">
        <w:rPr>
          <w:lang w:val="fr-FR"/>
        </w:rPr>
        <w:t xml:space="preserve">pourtant </w:t>
      </w:r>
      <w:r w:rsidRPr="00C24512">
        <w:rPr>
          <w:lang w:val="fr-FR"/>
        </w:rPr>
        <w:t xml:space="preserve">reconnue par le tribunal </w:t>
      </w:r>
      <w:r w:rsidR="00C14B77" w:rsidRPr="00C24512">
        <w:rPr>
          <w:lang w:val="fr-FR"/>
        </w:rPr>
        <w:t xml:space="preserve">civil </w:t>
      </w:r>
      <w:r w:rsidRPr="00C24512">
        <w:rPr>
          <w:lang w:val="fr-FR"/>
        </w:rPr>
        <w:t>de Rome dans son jugement du 10 mai 2001.</w:t>
      </w:r>
      <w:r w:rsidR="00AA637C" w:rsidRPr="00C24512">
        <w:rPr>
          <w:lang w:val="fr-FR"/>
        </w:rPr>
        <w:t xml:space="preserve"> Elle réitère à ce propos le principe selon lequel la Convention protège des droits non pas théoriques ou illusoires, mais concrets et effectifs</w:t>
      </w:r>
      <w:r w:rsidR="00BE60BA" w:rsidRPr="00C24512">
        <w:rPr>
          <w:lang w:val="fr-FR"/>
        </w:rPr>
        <w:t>.</w:t>
      </w:r>
    </w:p>
    <w:p w:rsidR="00671DC4" w:rsidRPr="00C24512" w:rsidRDefault="00982791" w:rsidP="00C24512">
      <w:pPr>
        <w:pStyle w:val="ECHRPara"/>
        <w:rPr>
          <w:lang w:val="fr-FR"/>
        </w:rPr>
      </w:pPr>
      <w:r w:rsidRPr="00C24512">
        <w:rPr>
          <w:lang w:val="fr-FR"/>
        </w:rPr>
        <w:fldChar w:fldCharType="begin"/>
      </w:r>
      <w:r w:rsidRPr="00C24512">
        <w:rPr>
          <w:lang w:val="fr-FR"/>
        </w:rPr>
        <w:instrText xml:space="preserve"> SEQ level0 \*arabic </w:instrText>
      </w:r>
      <w:r w:rsidRPr="00C24512">
        <w:rPr>
          <w:lang w:val="fr-FR"/>
        </w:rPr>
        <w:fldChar w:fldCharType="separate"/>
      </w:r>
      <w:r w:rsidR="00C24512" w:rsidRPr="00C24512">
        <w:rPr>
          <w:noProof/>
          <w:lang w:val="fr-FR"/>
        </w:rPr>
        <w:t>72</w:t>
      </w:r>
      <w:r w:rsidRPr="00C24512">
        <w:rPr>
          <w:lang w:val="fr-FR"/>
        </w:rPr>
        <w:fldChar w:fldCharType="end"/>
      </w:r>
      <w:r w:rsidRPr="00C24512">
        <w:rPr>
          <w:lang w:val="fr-FR"/>
        </w:rPr>
        <w:t xml:space="preserve">.  En revanche, </w:t>
      </w:r>
      <w:r w:rsidR="0000410B" w:rsidRPr="00C24512">
        <w:rPr>
          <w:lang w:val="fr-FR"/>
        </w:rPr>
        <w:t>la Cour</w:t>
      </w:r>
      <w:r w:rsidRPr="00C24512">
        <w:rPr>
          <w:lang w:val="fr-FR"/>
        </w:rPr>
        <w:t xml:space="preserve"> v</w:t>
      </w:r>
      <w:r w:rsidR="005B5811" w:rsidRPr="00C24512">
        <w:rPr>
          <w:lang w:val="fr-FR"/>
        </w:rPr>
        <w:t xml:space="preserve">oit </w:t>
      </w:r>
      <w:r w:rsidR="001316E6" w:rsidRPr="00C24512">
        <w:rPr>
          <w:lang w:val="fr-FR"/>
        </w:rPr>
        <w:t>là</w:t>
      </w:r>
      <w:r w:rsidR="005B5811" w:rsidRPr="00C24512">
        <w:rPr>
          <w:lang w:val="fr-FR"/>
        </w:rPr>
        <w:t xml:space="preserve"> une rigidité du </w:t>
      </w:r>
      <w:r w:rsidR="000A6B71" w:rsidRPr="00C24512">
        <w:rPr>
          <w:lang w:val="fr-FR"/>
        </w:rPr>
        <w:t xml:space="preserve">processus </w:t>
      </w:r>
      <w:r w:rsidR="0060697A" w:rsidRPr="00C24512">
        <w:rPr>
          <w:lang w:val="fr-FR"/>
        </w:rPr>
        <w:t>judiciaire</w:t>
      </w:r>
      <w:r w:rsidR="005B5811" w:rsidRPr="00C24512">
        <w:rPr>
          <w:lang w:val="fr-FR"/>
        </w:rPr>
        <w:t xml:space="preserve"> </w:t>
      </w:r>
      <w:r w:rsidR="00AE0992" w:rsidRPr="00C24512">
        <w:rPr>
          <w:lang w:val="fr-FR"/>
        </w:rPr>
        <w:t>de reconnaissance de l</w:t>
      </w:r>
      <w:r w:rsidR="00C24512" w:rsidRPr="00C24512">
        <w:rPr>
          <w:lang w:val="fr-FR"/>
        </w:rPr>
        <w:t>’</w:t>
      </w:r>
      <w:r w:rsidR="00AE0992" w:rsidRPr="00C24512">
        <w:rPr>
          <w:lang w:val="fr-FR"/>
        </w:rPr>
        <w:t xml:space="preserve">identité sexuelle des personnes </w:t>
      </w:r>
      <w:r w:rsidR="000A6B71" w:rsidRPr="00C24512">
        <w:rPr>
          <w:lang w:val="fr-FR"/>
        </w:rPr>
        <w:t>transsexuelles</w:t>
      </w:r>
      <w:r w:rsidR="00AE0992" w:rsidRPr="00C24512">
        <w:rPr>
          <w:lang w:val="fr-FR"/>
        </w:rPr>
        <w:t xml:space="preserve"> </w:t>
      </w:r>
      <w:r w:rsidR="00DD0AEE" w:rsidRPr="00C24512">
        <w:rPr>
          <w:lang w:val="fr-FR"/>
        </w:rPr>
        <w:t>en</w:t>
      </w:r>
      <w:r w:rsidR="00AE0992" w:rsidRPr="00C24512">
        <w:rPr>
          <w:lang w:val="fr-FR"/>
        </w:rPr>
        <w:t xml:space="preserve"> vigueur à l</w:t>
      </w:r>
      <w:r w:rsidR="00C24512" w:rsidRPr="00C24512">
        <w:rPr>
          <w:lang w:val="fr-FR"/>
        </w:rPr>
        <w:t>’</w:t>
      </w:r>
      <w:r w:rsidR="00AE0992" w:rsidRPr="00C24512">
        <w:rPr>
          <w:lang w:val="fr-FR"/>
        </w:rPr>
        <w:t>époque</w:t>
      </w:r>
      <w:r w:rsidR="000A6B71" w:rsidRPr="00C24512">
        <w:rPr>
          <w:lang w:val="fr-FR"/>
        </w:rPr>
        <w:t xml:space="preserve"> des faits</w:t>
      </w:r>
      <w:r w:rsidR="00AE0992" w:rsidRPr="00C24512">
        <w:rPr>
          <w:lang w:val="fr-FR"/>
        </w:rPr>
        <w:t>,</w:t>
      </w:r>
      <w:r w:rsidR="0075252A" w:rsidRPr="00C24512">
        <w:rPr>
          <w:lang w:val="fr-FR"/>
        </w:rPr>
        <w:t xml:space="preserve"> </w:t>
      </w:r>
      <w:r w:rsidR="0095262F" w:rsidRPr="00C24512">
        <w:rPr>
          <w:lang w:val="fr-FR"/>
        </w:rPr>
        <w:t xml:space="preserve">qui </w:t>
      </w:r>
      <w:r w:rsidR="005B5811" w:rsidRPr="00C24512">
        <w:rPr>
          <w:lang w:val="fr-FR"/>
        </w:rPr>
        <w:t xml:space="preserve">a placé la requérante </w:t>
      </w:r>
      <w:r w:rsidR="00DD0AEE" w:rsidRPr="00C24512">
        <w:rPr>
          <w:lang w:val="fr-FR"/>
        </w:rPr>
        <w:t xml:space="preserve">pendant une période déraisonnable </w:t>
      </w:r>
      <w:r w:rsidR="005B5811" w:rsidRPr="00C24512">
        <w:rPr>
          <w:lang w:val="fr-FR"/>
        </w:rPr>
        <w:t xml:space="preserve">dans une situation </w:t>
      </w:r>
      <w:r w:rsidR="000A6B71" w:rsidRPr="00C24512">
        <w:rPr>
          <w:lang w:val="fr-FR"/>
        </w:rPr>
        <w:t>anormale lui inspirant des sentiments de vulnérabilité, d</w:t>
      </w:r>
      <w:r w:rsidR="00C24512" w:rsidRPr="00C24512">
        <w:rPr>
          <w:lang w:val="fr-FR"/>
        </w:rPr>
        <w:t>’</w:t>
      </w:r>
      <w:r w:rsidR="000A6B71" w:rsidRPr="00C24512">
        <w:rPr>
          <w:lang w:val="fr-FR"/>
        </w:rPr>
        <w:t>humiliation et d</w:t>
      </w:r>
      <w:r w:rsidR="00C24512" w:rsidRPr="00C24512">
        <w:rPr>
          <w:lang w:val="fr-FR"/>
        </w:rPr>
        <w:t>’</w:t>
      </w:r>
      <w:r w:rsidR="000A6B71" w:rsidRPr="00C24512">
        <w:rPr>
          <w:lang w:val="fr-FR"/>
        </w:rPr>
        <w:t>anxiété</w:t>
      </w:r>
      <w:r w:rsidR="005B5811" w:rsidRPr="00C24512">
        <w:rPr>
          <w:lang w:val="fr-FR"/>
        </w:rPr>
        <w:t xml:space="preserve"> </w:t>
      </w:r>
      <w:r w:rsidR="00DD0AEE" w:rsidRPr="00C24512">
        <w:rPr>
          <w:lang w:val="fr-FR"/>
        </w:rPr>
        <w:t>(</w:t>
      </w:r>
      <w:r w:rsidR="008B1800" w:rsidRPr="00C24512">
        <w:rPr>
          <w:lang w:val="fr-FR"/>
        </w:rPr>
        <w:t xml:space="preserve">voir, </w:t>
      </w:r>
      <w:r w:rsidR="00DD0AEE" w:rsidRPr="00C24512">
        <w:rPr>
          <w:i/>
          <w:lang w:val="fr-FR"/>
        </w:rPr>
        <w:t>mutatis mutandis</w:t>
      </w:r>
      <w:r w:rsidR="00DD0AEE" w:rsidRPr="00C24512">
        <w:rPr>
          <w:lang w:val="fr-FR"/>
        </w:rPr>
        <w:t xml:space="preserve">, </w:t>
      </w:r>
      <w:r w:rsidR="00DD0AEE" w:rsidRPr="00C24512">
        <w:rPr>
          <w:i/>
          <w:lang w:val="fr-FR"/>
        </w:rPr>
        <w:t>Christine</w:t>
      </w:r>
      <w:r w:rsidR="00456DF6" w:rsidRPr="00C24512">
        <w:rPr>
          <w:i/>
          <w:lang w:val="fr-FR"/>
        </w:rPr>
        <w:t> </w:t>
      </w:r>
      <w:proofErr w:type="spellStart"/>
      <w:r w:rsidR="00DD0AEE" w:rsidRPr="00C24512">
        <w:rPr>
          <w:i/>
          <w:lang w:val="fr-FR"/>
        </w:rPr>
        <w:t>Goodwin</w:t>
      </w:r>
      <w:proofErr w:type="spellEnd"/>
      <w:r w:rsidR="00DD0AEE" w:rsidRPr="00C24512">
        <w:rPr>
          <w:lang w:val="fr-FR"/>
        </w:rPr>
        <w:t>, précité, §§ 77-78).</w:t>
      </w:r>
    </w:p>
    <w:p w:rsidR="00671DC4" w:rsidRPr="00C24512" w:rsidRDefault="00AE0992" w:rsidP="00C24512">
      <w:pPr>
        <w:pStyle w:val="ECHRPara"/>
        <w:rPr>
          <w:lang w:val="fr-FR"/>
        </w:rPr>
      </w:pPr>
      <w:r w:rsidRPr="00C24512">
        <w:rPr>
          <w:lang w:val="fr-FR"/>
        </w:rPr>
        <w:fldChar w:fldCharType="begin"/>
      </w:r>
      <w:r w:rsidRPr="00C24512">
        <w:rPr>
          <w:lang w:val="fr-FR"/>
        </w:rPr>
        <w:instrText xml:space="preserve"> SEQ level0 \*arabic </w:instrText>
      </w:r>
      <w:r w:rsidRPr="00C24512">
        <w:rPr>
          <w:lang w:val="fr-FR"/>
        </w:rPr>
        <w:fldChar w:fldCharType="separate"/>
      </w:r>
      <w:r w:rsidR="00C24512" w:rsidRPr="00C24512">
        <w:rPr>
          <w:noProof/>
          <w:lang w:val="fr-FR"/>
        </w:rPr>
        <w:t>73</w:t>
      </w:r>
      <w:r w:rsidRPr="00C24512">
        <w:rPr>
          <w:lang w:val="fr-FR"/>
        </w:rPr>
        <w:fldChar w:fldCharType="end"/>
      </w:r>
      <w:r w:rsidRPr="00C24512">
        <w:rPr>
          <w:lang w:val="fr-FR"/>
        </w:rPr>
        <w:t>.  </w:t>
      </w:r>
      <w:r w:rsidR="00AA637C" w:rsidRPr="00C24512">
        <w:rPr>
          <w:lang w:val="fr-FR"/>
        </w:rPr>
        <w:t>La</w:t>
      </w:r>
      <w:r w:rsidR="005B5811" w:rsidRPr="00C24512">
        <w:rPr>
          <w:lang w:val="fr-FR"/>
        </w:rPr>
        <w:t xml:space="preserve"> Cour se réfère à la Recommandation </w:t>
      </w:r>
      <w:r w:rsidR="0000410B" w:rsidRPr="00C24512">
        <w:rPr>
          <w:lang w:val="fr-FR"/>
        </w:rPr>
        <w:t>CM/</w:t>
      </w:r>
      <w:proofErr w:type="spellStart"/>
      <w:r w:rsidR="0000410B" w:rsidRPr="00C24512">
        <w:rPr>
          <w:lang w:val="fr-FR"/>
        </w:rPr>
        <w:t>Rec</w:t>
      </w:r>
      <w:proofErr w:type="spellEnd"/>
      <w:r w:rsidR="0000410B" w:rsidRPr="00C24512">
        <w:rPr>
          <w:lang w:val="fr-FR"/>
        </w:rPr>
        <w:t xml:space="preserve">(2010)5 sur </w:t>
      </w:r>
      <w:r w:rsidR="00AC1DCE" w:rsidRPr="00C24512">
        <w:rPr>
          <w:lang w:val="fr-FR"/>
        </w:rPr>
        <w:t>d</w:t>
      </w:r>
      <w:r w:rsidR="0000410B" w:rsidRPr="00C24512">
        <w:rPr>
          <w:lang w:val="fr-FR"/>
        </w:rPr>
        <w:t>es mesures visant à combattre la discrimination fondée sur l</w:t>
      </w:r>
      <w:r w:rsidR="00C24512" w:rsidRPr="00C24512">
        <w:rPr>
          <w:lang w:val="fr-FR"/>
        </w:rPr>
        <w:t>’</w:t>
      </w:r>
      <w:r w:rsidR="0000410B" w:rsidRPr="00C24512">
        <w:rPr>
          <w:lang w:val="fr-FR"/>
        </w:rPr>
        <w:t>orientation sexuelle ou l</w:t>
      </w:r>
      <w:r w:rsidR="00C24512" w:rsidRPr="00C24512">
        <w:rPr>
          <w:lang w:val="fr-FR"/>
        </w:rPr>
        <w:t>’</w:t>
      </w:r>
      <w:r w:rsidR="0000410B" w:rsidRPr="00C24512">
        <w:rPr>
          <w:lang w:val="fr-FR"/>
        </w:rPr>
        <w:t>identité de genre,</w:t>
      </w:r>
      <w:r w:rsidR="005B5811" w:rsidRPr="00C24512">
        <w:rPr>
          <w:lang w:val="fr-FR"/>
        </w:rPr>
        <w:t xml:space="preserve"> dans laquelle </w:t>
      </w:r>
      <w:r w:rsidRPr="00C24512">
        <w:rPr>
          <w:lang w:val="fr-FR"/>
        </w:rPr>
        <w:t xml:space="preserve">le </w:t>
      </w:r>
      <w:r w:rsidR="005B5811" w:rsidRPr="00C24512">
        <w:rPr>
          <w:lang w:val="fr-FR"/>
        </w:rPr>
        <w:t xml:space="preserve">Comité des Ministres </w:t>
      </w:r>
      <w:r w:rsidR="00FE0668" w:rsidRPr="00C24512">
        <w:rPr>
          <w:lang w:val="fr-FR"/>
        </w:rPr>
        <w:t>a préconisé</w:t>
      </w:r>
      <w:r w:rsidR="005B5811" w:rsidRPr="00C24512">
        <w:rPr>
          <w:lang w:val="fr-FR"/>
        </w:rPr>
        <w:t xml:space="preserve"> </w:t>
      </w:r>
      <w:r w:rsidR="0000410B" w:rsidRPr="00C24512">
        <w:rPr>
          <w:lang w:val="fr-FR"/>
        </w:rPr>
        <w:t>aux États de permettre le changement de nom et de genre dans les documents officiels de manière rapide, transparente et accessible</w:t>
      </w:r>
      <w:r w:rsidR="0060697A" w:rsidRPr="00C24512">
        <w:rPr>
          <w:lang w:val="fr-FR"/>
        </w:rPr>
        <w:t xml:space="preserve"> (paragraphe </w:t>
      </w:r>
      <w:r w:rsidR="00107183" w:rsidRPr="00C24512">
        <w:rPr>
          <w:lang w:val="fr-FR"/>
        </w:rPr>
        <w:t xml:space="preserve">25 </w:t>
      </w:r>
      <w:r w:rsidR="0060697A" w:rsidRPr="00C24512">
        <w:rPr>
          <w:lang w:val="fr-FR"/>
        </w:rPr>
        <w:t>ci-dessus)</w:t>
      </w:r>
      <w:r w:rsidR="0000410B" w:rsidRPr="00C24512">
        <w:rPr>
          <w:lang w:val="fr-FR"/>
        </w:rPr>
        <w:t>.</w:t>
      </w:r>
    </w:p>
    <w:p w:rsidR="00671DC4" w:rsidRPr="00C24512" w:rsidRDefault="0000410B" w:rsidP="00C24512">
      <w:pPr>
        <w:pStyle w:val="ECHRPara"/>
        <w:rPr>
          <w:lang w:val="fr-FR"/>
        </w:rPr>
      </w:pPr>
      <w:r w:rsidRPr="00C24512">
        <w:rPr>
          <w:lang w:val="fr-FR"/>
        </w:rPr>
        <w:fldChar w:fldCharType="begin"/>
      </w:r>
      <w:r w:rsidRPr="00C24512">
        <w:rPr>
          <w:lang w:val="fr-FR"/>
        </w:rPr>
        <w:instrText xml:space="preserve"> SEQ level0 \*arabic </w:instrText>
      </w:r>
      <w:r w:rsidRPr="00C24512">
        <w:rPr>
          <w:lang w:val="fr-FR"/>
        </w:rPr>
        <w:fldChar w:fldCharType="separate"/>
      </w:r>
      <w:r w:rsidR="00C24512" w:rsidRPr="00C24512">
        <w:rPr>
          <w:noProof/>
          <w:lang w:val="fr-FR"/>
        </w:rPr>
        <w:t>74</w:t>
      </w:r>
      <w:r w:rsidRPr="00C24512">
        <w:rPr>
          <w:lang w:val="fr-FR"/>
        </w:rPr>
        <w:fldChar w:fldCharType="end"/>
      </w:r>
      <w:r w:rsidRPr="00C24512">
        <w:rPr>
          <w:lang w:val="fr-FR"/>
        </w:rPr>
        <w:t>.  </w:t>
      </w:r>
      <w:r w:rsidR="008726A3" w:rsidRPr="00C24512">
        <w:rPr>
          <w:lang w:val="fr-FR"/>
        </w:rPr>
        <w:t xml:space="preserve">Par ailleurs, la Cour </w:t>
      </w:r>
      <w:r w:rsidR="00AA637C" w:rsidRPr="00C24512">
        <w:rPr>
          <w:lang w:val="fr-FR"/>
        </w:rPr>
        <w:t>observe</w:t>
      </w:r>
      <w:r w:rsidR="008726A3" w:rsidRPr="00C24512">
        <w:rPr>
          <w:lang w:val="fr-FR"/>
        </w:rPr>
        <w:t xml:space="preserve"> avec intérêt</w:t>
      </w:r>
      <w:r w:rsidR="00AA637C" w:rsidRPr="00C24512">
        <w:rPr>
          <w:lang w:val="fr-FR"/>
        </w:rPr>
        <w:t xml:space="preserve"> que </w:t>
      </w:r>
      <w:r w:rsidR="008726A3" w:rsidRPr="00C24512">
        <w:rPr>
          <w:lang w:val="fr-FR"/>
        </w:rPr>
        <w:t>le décret législatif n</w:t>
      </w:r>
      <w:r w:rsidR="00671DC4" w:rsidRPr="00C24512">
        <w:rPr>
          <w:vertAlign w:val="superscript"/>
          <w:lang w:val="fr-FR"/>
        </w:rPr>
        <w:t>o</w:t>
      </w:r>
      <w:r w:rsidR="008726A3" w:rsidRPr="00C24512">
        <w:rPr>
          <w:lang w:val="fr-FR"/>
        </w:rPr>
        <w:t> </w:t>
      </w:r>
      <w:r w:rsidR="00373609" w:rsidRPr="00C24512">
        <w:rPr>
          <w:lang w:val="fr-FR"/>
        </w:rPr>
        <w:t xml:space="preserve">150 de 2011 a modifié </w:t>
      </w:r>
      <w:r w:rsidR="00883F5D" w:rsidRPr="00C24512">
        <w:rPr>
          <w:lang w:val="fr-FR"/>
        </w:rPr>
        <w:t>l</w:t>
      </w:r>
      <w:r w:rsidR="00C24512" w:rsidRPr="00C24512">
        <w:rPr>
          <w:lang w:val="fr-FR"/>
        </w:rPr>
        <w:t>’</w:t>
      </w:r>
      <w:r w:rsidR="00883F5D" w:rsidRPr="00C24512">
        <w:rPr>
          <w:lang w:val="fr-FR"/>
        </w:rPr>
        <w:t>article 3 de la loi n</w:t>
      </w:r>
      <w:r w:rsidR="00671DC4" w:rsidRPr="00C24512">
        <w:rPr>
          <w:vertAlign w:val="superscript"/>
          <w:lang w:val="fr-FR"/>
        </w:rPr>
        <w:t>o</w:t>
      </w:r>
      <w:r w:rsidR="00883F5D" w:rsidRPr="00C24512">
        <w:rPr>
          <w:lang w:val="fr-FR"/>
        </w:rPr>
        <w:t> </w:t>
      </w:r>
      <w:r w:rsidR="00AA637C" w:rsidRPr="00C24512">
        <w:rPr>
          <w:lang w:val="fr-FR"/>
        </w:rPr>
        <w:t>164</w:t>
      </w:r>
      <w:r w:rsidR="0060697A" w:rsidRPr="00C24512">
        <w:rPr>
          <w:lang w:val="fr-FR"/>
        </w:rPr>
        <w:t xml:space="preserve"> de </w:t>
      </w:r>
      <w:r w:rsidR="009E0BF5" w:rsidRPr="00C24512">
        <w:rPr>
          <w:lang w:val="fr-FR"/>
        </w:rPr>
        <w:t>1982</w:t>
      </w:r>
      <w:r w:rsidR="00AA637C" w:rsidRPr="00C24512">
        <w:rPr>
          <w:lang w:val="fr-FR"/>
        </w:rPr>
        <w:t xml:space="preserve"> </w:t>
      </w:r>
      <w:r w:rsidR="00373609" w:rsidRPr="00C24512">
        <w:rPr>
          <w:lang w:val="fr-FR"/>
        </w:rPr>
        <w:t>en ce sens qu</w:t>
      </w:r>
      <w:r w:rsidR="00C24512" w:rsidRPr="00C24512">
        <w:rPr>
          <w:lang w:val="fr-FR"/>
        </w:rPr>
        <w:t>’</w:t>
      </w:r>
      <w:r w:rsidR="00373609" w:rsidRPr="00C24512">
        <w:rPr>
          <w:lang w:val="fr-FR"/>
        </w:rPr>
        <w:t>une deuxième décision du tribunal n</w:t>
      </w:r>
      <w:r w:rsidR="00C24512" w:rsidRPr="00C24512">
        <w:rPr>
          <w:lang w:val="fr-FR"/>
        </w:rPr>
        <w:t>’</w:t>
      </w:r>
      <w:r w:rsidR="00373609" w:rsidRPr="00C24512">
        <w:rPr>
          <w:lang w:val="fr-FR"/>
        </w:rPr>
        <w:t xml:space="preserve">est plus nécessaire dans les procédures de </w:t>
      </w:r>
      <w:r w:rsidR="00F17AE5" w:rsidRPr="00C24512">
        <w:rPr>
          <w:lang w:val="fr-FR"/>
        </w:rPr>
        <w:t>rectification de l</w:t>
      </w:r>
      <w:r w:rsidR="00C24512" w:rsidRPr="00C24512">
        <w:rPr>
          <w:lang w:val="fr-FR"/>
        </w:rPr>
        <w:t>’</w:t>
      </w:r>
      <w:r w:rsidR="00F17AE5" w:rsidRPr="00C24512">
        <w:rPr>
          <w:lang w:val="fr-FR"/>
        </w:rPr>
        <w:t>attribution du sexe</w:t>
      </w:r>
      <w:r w:rsidR="00373609" w:rsidRPr="00C24512">
        <w:rPr>
          <w:lang w:val="fr-FR"/>
        </w:rPr>
        <w:t xml:space="preserve"> concernant des personnes opérées, dès lors que la rectification de l</w:t>
      </w:r>
      <w:r w:rsidR="00C24512" w:rsidRPr="00C24512">
        <w:rPr>
          <w:lang w:val="fr-FR"/>
        </w:rPr>
        <w:t>’</w:t>
      </w:r>
      <w:r w:rsidR="00373609" w:rsidRPr="00C24512">
        <w:rPr>
          <w:lang w:val="fr-FR"/>
        </w:rPr>
        <w:t xml:space="preserve">état civil </w:t>
      </w:r>
      <w:r w:rsidR="00DA3571" w:rsidRPr="00C24512">
        <w:rPr>
          <w:lang w:val="fr-FR"/>
        </w:rPr>
        <w:t>peut être</w:t>
      </w:r>
      <w:r w:rsidR="00267331" w:rsidRPr="00C24512">
        <w:rPr>
          <w:lang w:val="fr-FR"/>
        </w:rPr>
        <w:t xml:space="preserve"> ordonnée par le juge </w:t>
      </w:r>
      <w:r w:rsidR="00AB17AA" w:rsidRPr="00C24512">
        <w:rPr>
          <w:lang w:val="fr-FR"/>
        </w:rPr>
        <w:t>lors de</w:t>
      </w:r>
      <w:r w:rsidR="00267331" w:rsidRPr="00C24512">
        <w:rPr>
          <w:lang w:val="fr-FR"/>
        </w:rPr>
        <w:t xml:space="preserve"> la</w:t>
      </w:r>
      <w:r w:rsidR="005A32F8" w:rsidRPr="00C24512">
        <w:rPr>
          <w:lang w:val="fr-FR"/>
        </w:rPr>
        <w:t xml:space="preserve"> </w:t>
      </w:r>
      <w:r w:rsidR="00373609" w:rsidRPr="00C24512">
        <w:rPr>
          <w:lang w:val="fr-FR"/>
        </w:rPr>
        <w:t xml:space="preserve">décision </w:t>
      </w:r>
      <w:r w:rsidR="0060697A" w:rsidRPr="00C24512">
        <w:rPr>
          <w:lang w:val="fr-FR"/>
        </w:rPr>
        <w:t xml:space="preserve">qui </w:t>
      </w:r>
      <w:r w:rsidR="00373609" w:rsidRPr="00C24512">
        <w:rPr>
          <w:lang w:val="fr-FR"/>
        </w:rPr>
        <w:t>autoris</w:t>
      </w:r>
      <w:r w:rsidR="0060697A" w:rsidRPr="00C24512">
        <w:rPr>
          <w:lang w:val="fr-FR"/>
        </w:rPr>
        <w:t>e l</w:t>
      </w:r>
      <w:r w:rsidR="00C24512" w:rsidRPr="00C24512">
        <w:rPr>
          <w:lang w:val="fr-FR"/>
        </w:rPr>
        <w:t>’</w:t>
      </w:r>
      <w:r w:rsidR="0060697A" w:rsidRPr="00C24512">
        <w:rPr>
          <w:lang w:val="fr-FR"/>
        </w:rPr>
        <w:t>opération</w:t>
      </w:r>
      <w:r w:rsidR="00DA2AC3" w:rsidRPr="00C24512">
        <w:rPr>
          <w:lang w:val="fr-FR"/>
        </w:rPr>
        <w:t xml:space="preserve"> (paragraphe </w:t>
      </w:r>
      <w:r w:rsidR="00854D88" w:rsidRPr="00C24512">
        <w:rPr>
          <w:lang w:val="fr-FR"/>
        </w:rPr>
        <w:fldChar w:fldCharType="begin"/>
      </w:r>
      <w:r w:rsidR="00854D88" w:rsidRPr="00C24512">
        <w:rPr>
          <w:lang w:val="fr-FR"/>
        </w:rPr>
        <w:instrText xml:space="preserve"> REF décret150de2011 \h </w:instrText>
      </w:r>
      <w:r w:rsidR="00854D88" w:rsidRPr="00C24512">
        <w:rPr>
          <w:lang w:val="fr-FR"/>
        </w:rPr>
      </w:r>
      <w:r w:rsidR="00854D88" w:rsidRPr="00C24512">
        <w:rPr>
          <w:lang w:val="fr-FR"/>
        </w:rPr>
        <w:fldChar w:fldCharType="separate"/>
      </w:r>
      <w:r w:rsidR="00C24512" w:rsidRPr="00C24512">
        <w:rPr>
          <w:noProof/>
          <w:lang w:val="fr-FR"/>
        </w:rPr>
        <w:t>20</w:t>
      </w:r>
      <w:r w:rsidR="00854D88" w:rsidRPr="00C24512">
        <w:rPr>
          <w:lang w:val="fr-FR"/>
        </w:rPr>
        <w:fldChar w:fldCharType="end"/>
      </w:r>
      <w:r w:rsidR="00DA2AC3" w:rsidRPr="00C24512">
        <w:rPr>
          <w:lang w:val="fr-FR"/>
        </w:rPr>
        <w:t xml:space="preserve"> ci</w:t>
      </w:r>
      <w:r w:rsidR="00373609" w:rsidRPr="00C24512">
        <w:rPr>
          <w:lang w:val="fr-FR"/>
        </w:rPr>
        <w:t>-dessus).</w:t>
      </w:r>
    </w:p>
    <w:p w:rsidR="00671DC4" w:rsidRPr="00C24512" w:rsidRDefault="00E0339F" w:rsidP="00C24512">
      <w:pPr>
        <w:pStyle w:val="ECHRPara"/>
        <w:rPr>
          <w:lang w:val="fr-FR"/>
        </w:rPr>
      </w:pPr>
      <w:r w:rsidRPr="00C24512">
        <w:rPr>
          <w:lang w:val="fr-FR"/>
        </w:rPr>
        <w:lastRenderedPageBreak/>
        <w:fldChar w:fldCharType="begin"/>
      </w:r>
      <w:r w:rsidRPr="00C24512">
        <w:rPr>
          <w:lang w:val="fr-FR"/>
        </w:rPr>
        <w:instrText xml:space="preserve"> SEQ level0 \*arabic </w:instrText>
      </w:r>
      <w:r w:rsidRPr="00C24512">
        <w:rPr>
          <w:lang w:val="fr-FR"/>
        </w:rPr>
        <w:fldChar w:fldCharType="separate"/>
      </w:r>
      <w:r w:rsidR="00C24512" w:rsidRPr="00C24512">
        <w:rPr>
          <w:noProof/>
          <w:lang w:val="fr-FR"/>
        </w:rPr>
        <w:t>75</w:t>
      </w:r>
      <w:r w:rsidRPr="00C24512">
        <w:rPr>
          <w:lang w:val="fr-FR"/>
        </w:rPr>
        <w:fldChar w:fldCharType="end"/>
      </w:r>
      <w:r w:rsidRPr="00C24512">
        <w:rPr>
          <w:lang w:val="fr-FR"/>
        </w:rPr>
        <w:t>.  </w:t>
      </w:r>
      <w:r w:rsidR="007C71D9" w:rsidRPr="00C24512">
        <w:rPr>
          <w:lang w:val="fr-FR"/>
        </w:rPr>
        <w:t>Partant</w:t>
      </w:r>
      <w:r w:rsidR="0075252A" w:rsidRPr="00C24512">
        <w:rPr>
          <w:lang w:val="fr-FR"/>
        </w:rPr>
        <w:t>,</w:t>
      </w:r>
      <w:r w:rsidR="007C71D9" w:rsidRPr="00C24512">
        <w:rPr>
          <w:lang w:val="fr-FR"/>
        </w:rPr>
        <w:t xml:space="preserve"> compte tenu de ce que précède, la Cour considère que</w:t>
      </w:r>
      <w:r w:rsidR="0075252A" w:rsidRPr="00C24512">
        <w:rPr>
          <w:lang w:val="fr-FR"/>
        </w:rPr>
        <w:t xml:space="preserve"> </w:t>
      </w:r>
      <w:r w:rsidRPr="00C24512">
        <w:rPr>
          <w:lang w:val="fr-FR"/>
        </w:rPr>
        <w:t>l</w:t>
      </w:r>
      <w:r w:rsidR="00C24512" w:rsidRPr="00C24512">
        <w:rPr>
          <w:lang w:val="fr-FR"/>
        </w:rPr>
        <w:t>’</w:t>
      </w:r>
      <w:r w:rsidRPr="00C24512">
        <w:rPr>
          <w:lang w:val="fr-FR"/>
        </w:rPr>
        <w:t xml:space="preserve">impossibilité pour la requérante </w:t>
      </w:r>
      <w:r w:rsidR="00883F5D" w:rsidRPr="00C24512">
        <w:rPr>
          <w:lang w:val="fr-FR"/>
        </w:rPr>
        <w:t>d</w:t>
      </w:r>
      <w:r w:rsidR="00C24512" w:rsidRPr="00C24512">
        <w:rPr>
          <w:lang w:val="fr-FR"/>
        </w:rPr>
        <w:t>’</w:t>
      </w:r>
      <w:r w:rsidRPr="00C24512">
        <w:rPr>
          <w:lang w:val="fr-FR"/>
        </w:rPr>
        <w:t>obtenir</w:t>
      </w:r>
      <w:r w:rsidR="0075252A" w:rsidRPr="00C24512">
        <w:rPr>
          <w:lang w:val="fr-FR"/>
        </w:rPr>
        <w:t xml:space="preserve"> la modification de son prénom </w:t>
      </w:r>
      <w:r w:rsidR="007C71D9" w:rsidRPr="00C24512">
        <w:rPr>
          <w:lang w:val="fr-FR"/>
        </w:rPr>
        <w:t xml:space="preserve">pendant une période de deux ans et demi </w:t>
      </w:r>
      <w:r w:rsidR="00795A0C" w:rsidRPr="00C24512">
        <w:rPr>
          <w:lang w:val="fr-FR"/>
        </w:rPr>
        <w:t>au motif que son parcours de transition ne s</w:t>
      </w:r>
      <w:r w:rsidR="00C24512" w:rsidRPr="00C24512">
        <w:rPr>
          <w:lang w:val="fr-FR"/>
        </w:rPr>
        <w:t>’</w:t>
      </w:r>
      <w:r w:rsidR="00795A0C" w:rsidRPr="00C24512">
        <w:rPr>
          <w:lang w:val="fr-FR"/>
        </w:rPr>
        <w:t xml:space="preserve">était pas conclu par une opération de </w:t>
      </w:r>
      <w:r w:rsidR="006A23AD" w:rsidRPr="00C24512">
        <w:rPr>
          <w:lang w:val="fr-FR"/>
        </w:rPr>
        <w:t>conversion</w:t>
      </w:r>
      <w:r w:rsidR="007B4CD4" w:rsidRPr="00C24512">
        <w:rPr>
          <w:lang w:val="fr-FR"/>
        </w:rPr>
        <w:t xml:space="preserve"> sexuelle</w:t>
      </w:r>
      <w:r w:rsidR="00795A0C" w:rsidRPr="00C24512">
        <w:rPr>
          <w:lang w:val="fr-FR"/>
        </w:rPr>
        <w:t xml:space="preserve"> s</w:t>
      </w:r>
      <w:r w:rsidR="00C24512" w:rsidRPr="00C24512">
        <w:rPr>
          <w:lang w:val="fr-FR"/>
        </w:rPr>
        <w:t>’</w:t>
      </w:r>
      <w:r w:rsidR="00795A0C" w:rsidRPr="00C24512">
        <w:rPr>
          <w:lang w:val="fr-FR"/>
        </w:rPr>
        <w:t>analyse</w:t>
      </w:r>
      <w:r w:rsidR="007B4CD4" w:rsidRPr="00C24512">
        <w:rPr>
          <w:lang w:val="fr-FR"/>
        </w:rPr>
        <w:t>,</w:t>
      </w:r>
      <w:r w:rsidR="00795A0C" w:rsidRPr="00C24512">
        <w:rPr>
          <w:lang w:val="fr-FR"/>
        </w:rPr>
        <w:t xml:space="preserve"> dans les circonstances de l</w:t>
      </w:r>
      <w:r w:rsidR="00C24512" w:rsidRPr="00C24512">
        <w:rPr>
          <w:lang w:val="fr-FR"/>
        </w:rPr>
        <w:t>’</w:t>
      </w:r>
      <w:r w:rsidR="00795A0C" w:rsidRPr="00C24512">
        <w:rPr>
          <w:lang w:val="fr-FR"/>
        </w:rPr>
        <w:t>espèce</w:t>
      </w:r>
      <w:r w:rsidR="007B4CD4" w:rsidRPr="00C24512">
        <w:rPr>
          <w:lang w:val="fr-FR"/>
        </w:rPr>
        <w:t>,</w:t>
      </w:r>
      <w:r w:rsidR="00795A0C" w:rsidRPr="00C24512">
        <w:rPr>
          <w:lang w:val="fr-FR"/>
        </w:rPr>
        <w:t xml:space="preserve"> en un manquement </w:t>
      </w:r>
      <w:r w:rsidR="007B4CD4" w:rsidRPr="00C24512">
        <w:rPr>
          <w:lang w:val="fr-FR"/>
        </w:rPr>
        <w:t>de</w:t>
      </w:r>
      <w:r w:rsidR="00795A0C" w:rsidRPr="00C24512">
        <w:rPr>
          <w:lang w:val="fr-FR"/>
        </w:rPr>
        <w:t xml:space="preserve"> l</w:t>
      </w:r>
      <w:r w:rsidR="00C24512" w:rsidRPr="00C24512">
        <w:rPr>
          <w:lang w:val="fr-FR"/>
        </w:rPr>
        <w:t>’</w:t>
      </w:r>
      <w:r w:rsidR="007B4CD4" w:rsidRPr="00C24512">
        <w:rPr>
          <w:lang w:val="fr-FR"/>
        </w:rPr>
        <w:t>État</w:t>
      </w:r>
      <w:r w:rsidR="00795A0C" w:rsidRPr="00C24512">
        <w:rPr>
          <w:lang w:val="fr-FR"/>
        </w:rPr>
        <w:t xml:space="preserve"> défendeur à son obligation positive de garantir le droit de l</w:t>
      </w:r>
      <w:r w:rsidR="00C24512" w:rsidRPr="00C24512">
        <w:rPr>
          <w:lang w:val="fr-FR"/>
        </w:rPr>
        <w:t>’</w:t>
      </w:r>
      <w:r w:rsidR="00795A0C" w:rsidRPr="00C24512">
        <w:rPr>
          <w:lang w:val="fr-FR"/>
        </w:rPr>
        <w:t>intéressé</w:t>
      </w:r>
      <w:r w:rsidR="0092094B" w:rsidRPr="00C24512">
        <w:rPr>
          <w:lang w:val="fr-FR"/>
        </w:rPr>
        <w:t>e</w:t>
      </w:r>
      <w:r w:rsidR="00795A0C" w:rsidRPr="00C24512">
        <w:rPr>
          <w:lang w:val="fr-FR"/>
        </w:rPr>
        <w:t xml:space="preserve"> au respect de sa vie privée.</w:t>
      </w:r>
    </w:p>
    <w:p w:rsidR="005B5811" w:rsidRPr="00C24512" w:rsidRDefault="00795A0C" w:rsidP="00C24512">
      <w:pPr>
        <w:pStyle w:val="ECHRPara"/>
        <w:rPr>
          <w:lang w:val="fr-FR"/>
        </w:rPr>
      </w:pPr>
      <w:r w:rsidRPr="00C24512">
        <w:rPr>
          <w:lang w:val="fr-FR"/>
        </w:rPr>
        <w:t>Il y a donc</w:t>
      </w:r>
      <w:r w:rsidR="00B11571" w:rsidRPr="00C24512">
        <w:rPr>
          <w:lang w:val="fr-FR"/>
        </w:rPr>
        <w:t xml:space="preserve"> eu</w:t>
      </w:r>
      <w:r w:rsidRPr="00C24512">
        <w:rPr>
          <w:lang w:val="fr-FR"/>
        </w:rPr>
        <w:t xml:space="preserve"> </w:t>
      </w:r>
      <w:r w:rsidR="0092094B" w:rsidRPr="00C24512">
        <w:rPr>
          <w:lang w:val="fr-FR"/>
        </w:rPr>
        <w:t>violation de l</w:t>
      </w:r>
      <w:r w:rsidR="00C24512" w:rsidRPr="00C24512">
        <w:rPr>
          <w:lang w:val="fr-FR"/>
        </w:rPr>
        <w:t>’</w:t>
      </w:r>
      <w:r w:rsidR="0092094B" w:rsidRPr="00C24512">
        <w:rPr>
          <w:lang w:val="fr-FR"/>
        </w:rPr>
        <w:t>article 8 de la Convention.</w:t>
      </w:r>
    </w:p>
    <w:p w:rsidR="005B5811" w:rsidRPr="00C24512" w:rsidRDefault="005B5811" w:rsidP="00C24512">
      <w:pPr>
        <w:pStyle w:val="ECHRHeading1"/>
        <w:rPr>
          <w:lang w:val="fr-FR"/>
        </w:rPr>
      </w:pPr>
      <w:r w:rsidRPr="00C24512">
        <w:rPr>
          <w:lang w:val="fr-FR"/>
        </w:rPr>
        <w:t>II.  SUR LA VIOLATION ALLÉGUÉE DE L</w:t>
      </w:r>
      <w:r w:rsidR="00C24512" w:rsidRPr="00C24512">
        <w:rPr>
          <w:lang w:val="fr-FR"/>
        </w:rPr>
        <w:t>’</w:t>
      </w:r>
      <w:r w:rsidRPr="00C24512">
        <w:rPr>
          <w:lang w:val="fr-FR"/>
        </w:rPr>
        <w:t>ARTICLE 14 DE LA CONVENTION</w:t>
      </w:r>
    </w:p>
    <w:p w:rsidR="00671DC4" w:rsidRPr="00C24512" w:rsidRDefault="005B5811" w:rsidP="00C24512">
      <w:pPr>
        <w:pStyle w:val="ECHRPara"/>
        <w:rPr>
          <w:lang w:val="fr-FR"/>
        </w:rPr>
      </w:pPr>
      <w:r w:rsidRPr="00C24512">
        <w:rPr>
          <w:lang w:val="fr-FR"/>
        </w:rPr>
        <w:fldChar w:fldCharType="begin"/>
      </w:r>
      <w:r w:rsidRPr="00C24512">
        <w:rPr>
          <w:lang w:val="fr-FR"/>
        </w:rPr>
        <w:instrText xml:space="preserve"> SEQ level0 \*arabic </w:instrText>
      </w:r>
      <w:r w:rsidRPr="00C24512">
        <w:rPr>
          <w:lang w:val="fr-FR"/>
        </w:rPr>
        <w:fldChar w:fldCharType="separate"/>
      </w:r>
      <w:r w:rsidR="00C24512" w:rsidRPr="00C24512">
        <w:rPr>
          <w:noProof/>
          <w:lang w:val="fr-FR"/>
        </w:rPr>
        <w:t>76</w:t>
      </w:r>
      <w:r w:rsidRPr="00C24512">
        <w:rPr>
          <w:lang w:val="fr-FR"/>
        </w:rPr>
        <w:fldChar w:fldCharType="end"/>
      </w:r>
      <w:r w:rsidRPr="00C24512">
        <w:rPr>
          <w:lang w:val="fr-FR"/>
        </w:rPr>
        <w:t>.  La requérante dénonce une violation de l</w:t>
      </w:r>
      <w:r w:rsidR="00C24512" w:rsidRPr="00C24512">
        <w:rPr>
          <w:lang w:val="fr-FR"/>
        </w:rPr>
        <w:t>’</w:t>
      </w:r>
      <w:r w:rsidRPr="00C24512">
        <w:rPr>
          <w:lang w:val="fr-FR"/>
        </w:rPr>
        <w:t>article 14</w:t>
      </w:r>
      <w:r w:rsidR="00027323" w:rsidRPr="00C24512">
        <w:rPr>
          <w:lang w:val="fr-FR"/>
        </w:rPr>
        <w:t xml:space="preserve"> combiné avec l</w:t>
      </w:r>
      <w:r w:rsidR="00C24512" w:rsidRPr="00C24512">
        <w:rPr>
          <w:lang w:val="fr-FR"/>
        </w:rPr>
        <w:t>’</w:t>
      </w:r>
      <w:r w:rsidR="00027323" w:rsidRPr="00C24512">
        <w:rPr>
          <w:lang w:val="fr-FR"/>
        </w:rPr>
        <w:t>article 8 de la Convention.</w:t>
      </w:r>
    </w:p>
    <w:p w:rsidR="005B5811" w:rsidRPr="00C24512" w:rsidRDefault="005B5811" w:rsidP="00C24512">
      <w:pPr>
        <w:pStyle w:val="ECHRPara"/>
        <w:rPr>
          <w:lang w:val="fr-FR"/>
        </w:rPr>
      </w:pPr>
      <w:r w:rsidRPr="00C24512">
        <w:rPr>
          <w:lang w:val="fr-FR"/>
        </w:rPr>
        <w:fldChar w:fldCharType="begin"/>
      </w:r>
      <w:r w:rsidRPr="00C24512">
        <w:rPr>
          <w:lang w:val="fr-FR"/>
        </w:rPr>
        <w:instrText xml:space="preserve"> SEQ level0 \*arabic </w:instrText>
      </w:r>
      <w:r w:rsidRPr="00C24512">
        <w:rPr>
          <w:lang w:val="fr-FR"/>
        </w:rPr>
        <w:fldChar w:fldCharType="separate"/>
      </w:r>
      <w:r w:rsidR="00C24512" w:rsidRPr="00C24512">
        <w:rPr>
          <w:noProof/>
          <w:lang w:val="fr-FR"/>
        </w:rPr>
        <w:t>77</w:t>
      </w:r>
      <w:r w:rsidRPr="00C24512">
        <w:rPr>
          <w:lang w:val="fr-FR"/>
        </w:rPr>
        <w:fldChar w:fldCharType="end"/>
      </w:r>
      <w:r w:rsidRPr="00C24512">
        <w:rPr>
          <w:lang w:val="fr-FR"/>
        </w:rPr>
        <w:t>.  </w:t>
      </w:r>
      <w:r w:rsidR="00E82501" w:rsidRPr="00C24512">
        <w:rPr>
          <w:lang w:val="fr-FR"/>
        </w:rPr>
        <w:t>La Cour constate que cette partie de la requête n</w:t>
      </w:r>
      <w:r w:rsidR="00C24512" w:rsidRPr="00C24512">
        <w:rPr>
          <w:lang w:val="fr-FR"/>
        </w:rPr>
        <w:t>’</w:t>
      </w:r>
      <w:r w:rsidR="00E82501" w:rsidRPr="00C24512">
        <w:rPr>
          <w:lang w:val="fr-FR"/>
        </w:rPr>
        <w:t>est pas manifestement mal fondée au sens de l</w:t>
      </w:r>
      <w:r w:rsidR="00C24512" w:rsidRPr="00C24512">
        <w:rPr>
          <w:lang w:val="fr-FR"/>
        </w:rPr>
        <w:t>’</w:t>
      </w:r>
      <w:r w:rsidR="00E82501" w:rsidRPr="00C24512">
        <w:rPr>
          <w:lang w:val="fr-FR"/>
        </w:rPr>
        <w:t>article 35 § 3 a) de la Convention et qu</w:t>
      </w:r>
      <w:r w:rsidR="00C24512" w:rsidRPr="00C24512">
        <w:rPr>
          <w:lang w:val="fr-FR"/>
        </w:rPr>
        <w:t>’</w:t>
      </w:r>
      <w:r w:rsidR="00E82501" w:rsidRPr="00C24512">
        <w:rPr>
          <w:lang w:val="fr-FR"/>
        </w:rPr>
        <w:t>elle ne se heurte par ailleurs à aucun autre motif d</w:t>
      </w:r>
      <w:r w:rsidR="00C24512" w:rsidRPr="00C24512">
        <w:rPr>
          <w:lang w:val="fr-FR"/>
        </w:rPr>
        <w:t>’</w:t>
      </w:r>
      <w:r w:rsidR="00E82501" w:rsidRPr="00C24512">
        <w:rPr>
          <w:lang w:val="fr-FR"/>
        </w:rPr>
        <w:t>irrecevabilité. Elle la déclare donc recevable. Elle estime cependant, e</w:t>
      </w:r>
      <w:r w:rsidRPr="00C24512">
        <w:rPr>
          <w:lang w:val="fr-FR"/>
        </w:rPr>
        <w:t>u égard au constat relatif à l</w:t>
      </w:r>
      <w:r w:rsidR="00C24512" w:rsidRPr="00C24512">
        <w:rPr>
          <w:lang w:val="fr-FR"/>
        </w:rPr>
        <w:t>’</w:t>
      </w:r>
      <w:r w:rsidRPr="00C24512">
        <w:rPr>
          <w:lang w:val="fr-FR"/>
        </w:rPr>
        <w:t xml:space="preserve">article 8 (paragraphe </w:t>
      </w:r>
      <w:r w:rsidR="00DA2AC3" w:rsidRPr="00C24512">
        <w:rPr>
          <w:lang w:val="fr-FR"/>
        </w:rPr>
        <w:t>74</w:t>
      </w:r>
      <w:r w:rsidRPr="00C24512">
        <w:rPr>
          <w:lang w:val="fr-FR"/>
        </w:rPr>
        <w:t xml:space="preserve"> ci-dessus), qu</w:t>
      </w:r>
      <w:r w:rsidR="00C24512" w:rsidRPr="00C24512">
        <w:rPr>
          <w:lang w:val="fr-FR"/>
        </w:rPr>
        <w:t>’</w:t>
      </w:r>
      <w:r w:rsidRPr="00C24512">
        <w:rPr>
          <w:lang w:val="fr-FR"/>
        </w:rPr>
        <w:t>il n</w:t>
      </w:r>
      <w:r w:rsidR="00C24512" w:rsidRPr="00C24512">
        <w:rPr>
          <w:lang w:val="fr-FR"/>
        </w:rPr>
        <w:t>’</w:t>
      </w:r>
      <w:r w:rsidRPr="00C24512">
        <w:rPr>
          <w:lang w:val="fr-FR"/>
        </w:rPr>
        <w:t>y a pas lieu d</w:t>
      </w:r>
      <w:r w:rsidR="00C24512" w:rsidRPr="00C24512">
        <w:rPr>
          <w:lang w:val="fr-FR"/>
        </w:rPr>
        <w:t>’</w:t>
      </w:r>
      <w:r w:rsidRPr="00C24512">
        <w:rPr>
          <w:lang w:val="fr-FR"/>
        </w:rPr>
        <w:t>examiner s</w:t>
      </w:r>
      <w:r w:rsidR="00C24512" w:rsidRPr="00C24512">
        <w:rPr>
          <w:lang w:val="fr-FR"/>
        </w:rPr>
        <w:t>’</w:t>
      </w:r>
      <w:r w:rsidRPr="00C24512">
        <w:rPr>
          <w:lang w:val="fr-FR"/>
        </w:rPr>
        <w:t>il y a eu, en l</w:t>
      </w:r>
      <w:r w:rsidR="00C24512" w:rsidRPr="00C24512">
        <w:rPr>
          <w:lang w:val="fr-FR"/>
        </w:rPr>
        <w:t>’</w:t>
      </w:r>
      <w:r w:rsidRPr="00C24512">
        <w:rPr>
          <w:lang w:val="fr-FR"/>
        </w:rPr>
        <w:t xml:space="preserve">espèce, violation de </w:t>
      </w:r>
      <w:r w:rsidR="007B4CD4" w:rsidRPr="00C24512">
        <w:rPr>
          <w:lang w:val="fr-FR"/>
        </w:rPr>
        <w:t>la</w:t>
      </w:r>
      <w:r w:rsidRPr="00C24512">
        <w:rPr>
          <w:lang w:val="fr-FR"/>
        </w:rPr>
        <w:t xml:space="preserve"> disposition</w:t>
      </w:r>
      <w:r w:rsidR="007B4CD4" w:rsidRPr="00C24512">
        <w:rPr>
          <w:lang w:val="fr-FR"/>
        </w:rPr>
        <w:t xml:space="preserve"> invoquée</w:t>
      </w:r>
      <w:r w:rsidRPr="00C24512">
        <w:rPr>
          <w:lang w:val="fr-FR"/>
        </w:rPr>
        <w:t xml:space="preserve"> (</w:t>
      </w:r>
      <w:proofErr w:type="spellStart"/>
      <w:r w:rsidR="009618D6" w:rsidRPr="00C24512">
        <w:rPr>
          <w:i/>
          <w:lang w:val="fr-FR"/>
        </w:rPr>
        <w:t>A.P.,</w:t>
      </w:r>
      <w:r w:rsidR="00027323" w:rsidRPr="00C24512">
        <w:rPr>
          <w:i/>
          <w:lang w:val="fr-FR"/>
        </w:rPr>
        <w:t>Garçon</w:t>
      </w:r>
      <w:proofErr w:type="spellEnd"/>
      <w:r w:rsidR="00027323" w:rsidRPr="00C24512">
        <w:rPr>
          <w:i/>
          <w:lang w:val="fr-FR"/>
        </w:rPr>
        <w:t xml:space="preserve"> et Nicot</w:t>
      </w:r>
      <w:r w:rsidR="00027323" w:rsidRPr="00C24512">
        <w:rPr>
          <w:lang w:val="fr-FR"/>
        </w:rPr>
        <w:t>, précité, § 158</w:t>
      </w:r>
      <w:r w:rsidRPr="00C24512">
        <w:rPr>
          <w:lang w:val="fr-FR"/>
        </w:rPr>
        <w:t>).</w:t>
      </w:r>
    </w:p>
    <w:p w:rsidR="005B5811" w:rsidRPr="00C24512" w:rsidRDefault="005B5811" w:rsidP="00C24512">
      <w:pPr>
        <w:pStyle w:val="ECHRHeading1"/>
        <w:rPr>
          <w:lang w:val="fr-FR"/>
        </w:rPr>
      </w:pPr>
      <w:r w:rsidRPr="00C24512">
        <w:rPr>
          <w:lang w:val="fr-FR"/>
        </w:rPr>
        <w:t>III.  SUR L</w:t>
      </w:r>
      <w:r w:rsidR="00C24512" w:rsidRPr="00C24512">
        <w:rPr>
          <w:lang w:val="fr-FR"/>
        </w:rPr>
        <w:t>’</w:t>
      </w:r>
      <w:r w:rsidRPr="00C24512">
        <w:rPr>
          <w:lang w:val="fr-FR"/>
        </w:rPr>
        <w:t>APPLICATION DE L</w:t>
      </w:r>
      <w:r w:rsidR="00C24512" w:rsidRPr="00C24512">
        <w:rPr>
          <w:lang w:val="fr-FR"/>
        </w:rPr>
        <w:t>’</w:t>
      </w:r>
      <w:r w:rsidRPr="00C24512">
        <w:rPr>
          <w:lang w:val="fr-FR"/>
        </w:rPr>
        <w:t>ARTICLE 41 DE LA CONVENTION</w:t>
      </w:r>
    </w:p>
    <w:p w:rsidR="005B5811" w:rsidRPr="00C24512" w:rsidRDefault="005B5811" w:rsidP="00C24512">
      <w:pPr>
        <w:pStyle w:val="ECHRPara"/>
        <w:rPr>
          <w:lang w:val="fr-FR"/>
        </w:rPr>
      </w:pPr>
      <w:r w:rsidRPr="00C24512">
        <w:rPr>
          <w:lang w:val="fr-FR"/>
        </w:rPr>
        <w:fldChar w:fldCharType="begin"/>
      </w:r>
      <w:r w:rsidRPr="00C24512">
        <w:rPr>
          <w:lang w:val="fr-FR"/>
        </w:rPr>
        <w:instrText xml:space="preserve"> SEQ level0 \*arabic </w:instrText>
      </w:r>
      <w:r w:rsidRPr="00C24512">
        <w:rPr>
          <w:lang w:val="fr-FR"/>
        </w:rPr>
        <w:fldChar w:fldCharType="separate"/>
      </w:r>
      <w:r w:rsidR="00C24512" w:rsidRPr="00C24512">
        <w:rPr>
          <w:noProof/>
          <w:lang w:val="fr-FR"/>
        </w:rPr>
        <w:t>78</w:t>
      </w:r>
      <w:r w:rsidRPr="00C24512">
        <w:rPr>
          <w:lang w:val="fr-FR"/>
        </w:rPr>
        <w:fldChar w:fldCharType="end"/>
      </w:r>
      <w:r w:rsidRPr="00C24512">
        <w:rPr>
          <w:lang w:val="fr-FR"/>
        </w:rPr>
        <w:t>.  Aux termes de l</w:t>
      </w:r>
      <w:r w:rsidR="00C24512" w:rsidRPr="00C24512">
        <w:rPr>
          <w:lang w:val="fr-FR"/>
        </w:rPr>
        <w:t>’</w:t>
      </w:r>
      <w:r w:rsidRPr="00C24512">
        <w:rPr>
          <w:lang w:val="fr-FR"/>
        </w:rPr>
        <w:t>article 41 de la Convention,</w:t>
      </w:r>
    </w:p>
    <w:p w:rsidR="005B5811" w:rsidRPr="00C24512" w:rsidRDefault="005B5811" w:rsidP="00C24512">
      <w:pPr>
        <w:pStyle w:val="ECHRParaQuote"/>
        <w:keepNext/>
        <w:keepLines/>
        <w:rPr>
          <w:lang w:val="fr-FR"/>
        </w:rPr>
      </w:pPr>
      <w:r w:rsidRPr="00C24512">
        <w:rPr>
          <w:lang w:val="fr-FR"/>
        </w:rPr>
        <w:t>« Si la Cour déclare qu</w:t>
      </w:r>
      <w:r w:rsidR="00C24512" w:rsidRPr="00C24512">
        <w:rPr>
          <w:lang w:val="fr-FR"/>
        </w:rPr>
        <w:t>’</w:t>
      </w:r>
      <w:r w:rsidRPr="00C24512">
        <w:rPr>
          <w:lang w:val="fr-FR"/>
        </w:rPr>
        <w:t>il y a eu violation de la Convention ou de ses Protocoles, et si le droit interne de la Haute Partie contractante ne permet d</w:t>
      </w:r>
      <w:r w:rsidR="00C24512" w:rsidRPr="00C24512">
        <w:rPr>
          <w:lang w:val="fr-FR"/>
        </w:rPr>
        <w:t>’</w:t>
      </w:r>
      <w:r w:rsidRPr="00C24512">
        <w:rPr>
          <w:lang w:val="fr-FR"/>
        </w:rPr>
        <w:t>effacer qu</w:t>
      </w:r>
      <w:r w:rsidR="00C24512" w:rsidRPr="00C24512">
        <w:rPr>
          <w:lang w:val="fr-FR"/>
        </w:rPr>
        <w:t>’</w:t>
      </w:r>
      <w:r w:rsidRPr="00C24512">
        <w:rPr>
          <w:lang w:val="fr-FR"/>
        </w:rPr>
        <w:t>imparfaitement les conséquences de cette violation, la Cour accorde à la partie lésée, s</w:t>
      </w:r>
      <w:r w:rsidR="00C24512" w:rsidRPr="00C24512">
        <w:rPr>
          <w:lang w:val="fr-FR"/>
        </w:rPr>
        <w:t>’</w:t>
      </w:r>
      <w:r w:rsidRPr="00C24512">
        <w:rPr>
          <w:lang w:val="fr-FR"/>
        </w:rPr>
        <w:t>il y a lieu, une satisfaction équitable. »</w:t>
      </w:r>
    </w:p>
    <w:p w:rsidR="005B5811" w:rsidRPr="00C24512" w:rsidRDefault="005B5811" w:rsidP="00C24512">
      <w:pPr>
        <w:pStyle w:val="ECHRHeading2"/>
        <w:rPr>
          <w:lang w:val="fr-FR"/>
        </w:rPr>
      </w:pPr>
      <w:r w:rsidRPr="00C24512">
        <w:rPr>
          <w:lang w:val="fr-FR"/>
        </w:rPr>
        <w:t>A.  Dommage</w:t>
      </w:r>
    </w:p>
    <w:p w:rsidR="005B5811" w:rsidRPr="00C24512" w:rsidRDefault="005B5811" w:rsidP="00C24512">
      <w:pPr>
        <w:pStyle w:val="ECHRPara"/>
        <w:rPr>
          <w:lang w:val="fr-FR"/>
        </w:rPr>
      </w:pPr>
      <w:r w:rsidRPr="00C24512">
        <w:rPr>
          <w:lang w:val="fr-FR"/>
        </w:rPr>
        <w:fldChar w:fldCharType="begin"/>
      </w:r>
      <w:r w:rsidRPr="00C24512">
        <w:rPr>
          <w:lang w:val="fr-FR"/>
        </w:rPr>
        <w:instrText xml:space="preserve"> SEQ level0 \*arabic </w:instrText>
      </w:r>
      <w:r w:rsidRPr="00C24512">
        <w:rPr>
          <w:lang w:val="fr-FR"/>
        </w:rPr>
        <w:fldChar w:fldCharType="separate"/>
      </w:r>
      <w:r w:rsidR="00C24512" w:rsidRPr="00C24512">
        <w:rPr>
          <w:noProof/>
          <w:lang w:val="fr-FR"/>
        </w:rPr>
        <w:t>79</w:t>
      </w:r>
      <w:r w:rsidRPr="00C24512">
        <w:rPr>
          <w:lang w:val="fr-FR"/>
        </w:rPr>
        <w:fldChar w:fldCharType="end"/>
      </w:r>
      <w:r w:rsidRPr="00C24512">
        <w:rPr>
          <w:lang w:val="fr-FR"/>
        </w:rPr>
        <w:t>.  La requérante réclame 10 000 euros (EUR) au titre du préjudice moral qu</w:t>
      </w:r>
      <w:r w:rsidR="00C24512" w:rsidRPr="00C24512">
        <w:rPr>
          <w:lang w:val="fr-FR"/>
        </w:rPr>
        <w:t>’</w:t>
      </w:r>
      <w:r w:rsidRPr="00C24512">
        <w:rPr>
          <w:lang w:val="fr-FR"/>
        </w:rPr>
        <w:t>elle estime avoir subi.</w:t>
      </w:r>
    </w:p>
    <w:p w:rsidR="005B5811" w:rsidRPr="00C24512" w:rsidRDefault="005B5811" w:rsidP="00C24512">
      <w:pPr>
        <w:pStyle w:val="ECHRPara"/>
        <w:rPr>
          <w:lang w:val="fr-FR"/>
        </w:rPr>
      </w:pPr>
      <w:r w:rsidRPr="00C24512">
        <w:rPr>
          <w:lang w:val="fr-FR"/>
        </w:rPr>
        <w:fldChar w:fldCharType="begin"/>
      </w:r>
      <w:r w:rsidRPr="00C24512">
        <w:rPr>
          <w:lang w:val="fr-FR"/>
        </w:rPr>
        <w:instrText xml:space="preserve"> SEQ level0 \*arabic </w:instrText>
      </w:r>
      <w:r w:rsidRPr="00C24512">
        <w:rPr>
          <w:lang w:val="fr-FR"/>
        </w:rPr>
        <w:fldChar w:fldCharType="separate"/>
      </w:r>
      <w:r w:rsidR="00C24512" w:rsidRPr="00C24512">
        <w:rPr>
          <w:noProof/>
          <w:lang w:val="fr-FR"/>
        </w:rPr>
        <w:t>80</w:t>
      </w:r>
      <w:r w:rsidRPr="00C24512">
        <w:rPr>
          <w:lang w:val="fr-FR"/>
        </w:rPr>
        <w:fldChar w:fldCharType="end"/>
      </w:r>
      <w:r w:rsidRPr="00C24512">
        <w:rPr>
          <w:lang w:val="fr-FR"/>
        </w:rPr>
        <w:t xml:space="preserve">.  Le Gouvernement </w:t>
      </w:r>
      <w:r w:rsidR="00E92273" w:rsidRPr="00C24512">
        <w:rPr>
          <w:lang w:val="fr-FR"/>
        </w:rPr>
        <w:t>conteste cette prétention</w:t>
      </w:r>
      <w:r w:rsidRPr="00C24512">
        <w:rPr>
          <w:lang w:val="fr-FR"/>
        </w:rPr>
        <w:t>.</w:t>
      </w:r>
    </w:p>
    <w:p w:rsidR="005B5811" w:rsidRPr="00C24512" w:rsidRDefault="005B5811" w:rsidP="00C24512">
      <w:pPr>
        <w:pStyle w:val="ECHRPara"/>
        <w:rPr>
          <w:lang w:val="fr-FR"/>
        </w:rPr>
      </w:pPr>
      <w:r w:rsidRPr="00C24512">
        <w:rPr>
          <w:lang w:val="fr-FR"/>
        </w:rPr>
        <w:fldChar w:fldCharType="begin"/>
      </w:r>
      <w:r w:rsidRPr="00C24512">
        <w:rPr>
          <w:lang w:val="fr-FR"/>
        </w:rPr>
        <w:instrText xml:space="preserve"> SEQ level0 \*arabic </w:instrText>
      </w:r>
      <w:r w:rsidRPr="00C24512">
        <w:rPr>
          <w:lang w:val="fr-FR"/>
        </w:rPr>
        <w:fldChar w:fldCharType="separate"/>
      </w:r>
      <w:r w:rsidR="00C24512" w:rsidRPr="00C24512">
        <w:rPr>
          <w:noProof/>
          <w:lang w:val="fr-FR"/>
        </w:rPr>
        <w:t>81</w:t>
      </w:r>
      <w:r w:rsidRPr="00C24512">
        <w:rPr>
          <w:lang w:val="fr-FR"/>
        </w:rPr>
        <w:fldChar w:fldCharType="end"/>
      </w:r>
      <w:r w:rsidRPr="00C24512">
        <w:rPr>
          <w:lang w:val="fr-FR"/>
        </w:rPr>
        <w:t>.  La Cour considère que, dans les circonstances de l</w:t>
      </w:r>
      <w:r w:rsidR="00C24512" w:rsidRPr="00C24512">
        <w:rPr>
          <w:lang w:val="fr-FR"/>
        </w:rPr>
        <w:t>’</w:t>
      </w:r>
      <w:r w:rsidRPr="00C24512">
        <w:rPr>
          <w:lang w:val="fr-FR"/>
        </w:rPr>
        <w:t>espèce, le constat de violation de l</w:t>
      </w:r>
      <w:r w:rsidR="00C24512" w:rsidRPr="00C24512">
        <w:rPr>
          <w:lang w:val="fr-FR"/>
        </w:rPr>
        <w:t>’</w:t>
      </w:r>
      <w:r w:rsidRPr="00C24512">
        <w:rPr>
          <w:lang w:val="fr-FR"/>
        </w:rPr>
        <w:t>article 8 de la Convention auquel elle</w:t>
      </w:r>
      <w:r w:rsidR="006F3B0D" w:rsidRPr="00C24512">
        <w:rPr>
          <w:lang w:val="fr-FR"/>
        </w:rPr>
        <w:t xml:space="preserve"> est</w:t>
      </w:r>
      <w:r w:rsidRPr="00C24512">
        <w:rPr>
          <w:lang w:val="fr-FR"/>
        </w:rPr>
        <w:t xml:space="preserve"> parv</w:t>
      </w:r>
      <w:r w:rsidR="006F3B0D" w:rsidRPr="00C24512">
        <w:rPr>
          <w:lang w:val="fr-FR"/>
        </w:rPr>
        <w:t>enue</w:t>
      </w:r>
      <w:r w:rsidRPr="00C24512">
        <w:rPr>
          <w:lang w:val="fr-FR"/>
        </w:rPr>
        <w:t xml:space="preserve"> constitue en soi une satisfaction équitable suffisante.</w:t>
      </w:r>
    </w:p>
    <w:p w:rsidR="00E77CB3" w:rsidRPr="00C24512" w:rsidRDefault="00E77CB3" w:rsidP="00C24512">
      <w:pPr>
        <w:pStyle w:val="ECHRHeading2"/>
        <w:rPr>
          <w:lang w:val="fr-FR"/>
        </w:rPr>
      </w:pPr>
      <w:r w:rsidRPr="00C24512">
        <w:rPr>
          <w:lang w:val="fr-FR"/>
        </w:rPr>
        <w:t>B.  Frais et dépens</w:t>
      </w:r>
    </w:p>
    <w:p w:rsidR="00E77CB3" w:rsidRPr="00C24512" w:rsidRDefault="005B5811" w:rsidP="00C24512">
      <w:pPr>
        <w:pStyle w:val="ECHRPara"/>
        <w:rPr>
          <w:lang w:val="fr-FR"/>
        </w:rPr>
      </w:pPr>
      <w:r w:rsidRPr="00C24512">
        <w:rPr>
          <w:lang w:val="fr-FR"/>
        </w:rPr>
        <w:fldChar w:fldCharType="begin"/>
      </w:r>
      <w:r w:rsidRPr="00C24512">
        <w:rPr>
          <w:lang w:val="fr-FR"/>
        </w:rPr>
        <w:instrText xml:space="preserve"> SEQ level0 \*arabic </w:instrText>
      </w:r>
      <w:r w:rsidRPr="00C24512">
        <w:rPr>
          <w:lang w:val="fr-FR"/>
        </w:rPr>
        <w:fldChar w:fldCharType="separate"/>
      </w:r>
      <w:r w:rsidR="00C24512" w:rsidRPr="00C24512">
        <w:rPr>
          <w:noProof/>
          <w:lang w:val="fr-FR"/>
        </w:rPr>
        <w:t>82</w:t>
      </w:r>
      <w:r w:rsidRPr="00C24512">
        <w:rPr>
          <w:lang w:val="fr-FR"/>
        </w:rPr>
        <w:fldChar w:fldCharType="end"/>
      </w:r>
      <w:r w:rsidR="00E77CB3" w:rsidRPr="00C24512">
        <w:rPr>
          <w:lang w:val="fr-FR"/>
        </w:rPr>
        <w:t>.  </w:t>
      </w:r>
      <w:r w:rsidRPr="00C24512">
        <w:rPr>
          <w:lang w:val="fr-FR"/>
        </w:rPr>
        <w:t>La requérante</w:t>
      </w:r>
      <w:r w:rsidR="00E77CB3" w:rsidRPr="00C24512">
        <w:rPr>
          <w:lang w:val="fr-FR"/>
        </w:rPr>
        <w:t xml:space="preserve"> demande également </w:t>
      </w:r>
      <w:r w:rsidR="0092094B" w:rsidRPr="00C24512">
        <w:rPr>
          <w:lang w:val="fr-FR"/>
        </w:rPr>
        <w:t>1 200 </w:t>
      </w:r>
      <w:r w:rsidR="00E77CB3" w:rsidRPr="00C24512">
        <w:rPr>
          <w:lang w:val="fr-FR"/>
        </w:rPr>
        <w:t xml:space="preserve">EUR pour les frais et dépens engagés devant les juridictions internes et </w:t>
      </w:r>
      <w:r w:rsidR="0092094B" w:rsidRPr="00C24512">
        <w:rPr>
          <w:lang w:val="fr-FR"/>
        </w:rPr>
        <w:t>10 000</w:t>
      </w:r>
      <w:r w:rsidR="00E77CB3" w:rsidRPr="00C24512">
        <w:rPr>
          <w:lang w:val="fr-FR"/>
        </w:rPr>
        <w:t xml:space="preserve"> EUR</w:t>
      </w:r>
      <w:r w:rsidR="007460B1" w:rsidRPr="00C24512">
        <w:rPr>
          <w:lang w:val="fr-FR"/>
        </w:rPr>
        <w:t xml:space="preserve">, ou toute </w:t>
      </w:r>
      <w:r w:rsidR="007460B1" w:rsidRPr="00C24512">
        <w:rPr>
          <w:lang w:val="fr-FR"/>
        </w:rPr>
        <w:lastRenderedPageBreak/>
        <w:t>autre somme que la Cour jugerait équitable,</w:t>
      </w:r>
      <w:r w:rsidR="00E77CB3" w:rsidRPr="00C24512">
        <w:rPr>
          <w:lang w:val="fr-FR"/>
        </w:rPr>
        <w:t xml:space="preserve"> pour ceux engagés devant la Cour.</w:t>
      </w:r>
    </w:p>
    <w:p w:rsidR="00E77CB3" w:rsidRPr="00C24512" w:rsidRDefault="005B5811" w:rsidP="00C24512">
      <w:pPr>
        <w:pStyle w:val="ECHRPara"/>
        <w:rPr>
          <w:lang w:val="fr-FR"/>
        </w:rPr>
      </w:pPr>
      <w:r w:rsidRPr="00C24512">
        <w:rPr>
          <w:lang w:val="fr-FR"/>
        </w:rPr>
        <w:fldChar w:fldCharType="begin"/>
      </w:r>
      <w:r w:rsidRPr="00C24512">
        <w:rPr>
          <w:lang w:val="fr-FR"/>
        </w:rPr>
        <w:instrText xml:space="preserve"> SEQ level0 \*arabic </w:instrText>
      </w:r>
      <w:r w:rsidRPr="00C24512">
        <w:rPr>
          <w:lang w:val="fr-FR"/>
        </w:rPr>
        <w:fldChar w:fldCharType="separate"/>
      </w:r>
      <w:r w:rsidR="00C24512" w:rsidRPr="00C24512">
        <w:rPr>
          <w:noProof/>
          <w:lang w:val="fr-FR"/>
        </w:rPr>
        <w:t>83</w:t>
      </w:r>
      <w:r w:rsidRPr="00C24512">
        <w:rPr>
          <w:lang w:val="fr-FR"/>
        </w:rPr>
        <w:fldChar w:fldCharType="end"/>
      </w:r>
      <w:r w:rsidR="00E77CB3" w:rsidRPr="00C24512">
        <w:rPr>
          <w:lang w:val="fr-FR"/>
        </w:rPr>
        <w:t xml:space="preserve">.  Le Gouvernement </w:t>
      </w:r>
      <w:r w:rsidR="00750EAD" w:rsidRPr="00C24512">
        <w:rPr>
          <w:lang w:val="fr-FR"/>
        </w:rPr>
        <w:t>n</w:t>
      </w:r>
      <w:r w:rsidR="00C24512" w:rsidRPr="00C24512">
        <w:rPr>
          <w:lang w:val="fr-FR"/>
        </w:rPr>
        <w:t>’</w:t>
      </w:r>
      <w:r w:rsidR="00750EAD" w:rsidRPr="00C24512">
        <w:rPr>
          <w:lang w:val="fr-FR"/>
        </w:rPr>
        <w:t>a pas présenté d</w:t>
      </w:r>
      <w:r w:rsidR="00C24512" w:rsidRPr="00C24512">
        <w:rPr>
          <w:lang w:val="fr-FR"/>
        </w:rPr>
        <w:t>’</w:t>
      </w:r>
      <w:r w:rsidR="00750EAD" w:rsidRPr="00C24512">
        <w:rPr>
          <w:lang w:val="fr-FR"/>
        </w:rPr>
        <w:t>observation</w:t>
      </w:r>
      <w:r w:rsidR="006F3B0D" w:rsidRPr="00C24512">
        <w:rPr>
          <w:lang w:val="fr-FR"/>
        </w:rPr>
        <w:t>s</w:t>
      </w:r>
      <w:r w:rsidR="00750EAD" w:rsidRPr="00C24512">
        <w:rPr>
          <w:lang w:val="fr-FR"/>
        </w:rPr>
        <w:t xml:space="preserve"> sur ce point</w:t>
      </w:r>
      <w:r w:rsidR="0092094B" w:rsidRPr="00C24512">
        <w:rPr>
          <w:lang w:val="fr-FR"/>
        </w:rPr>
        <w:t>.</w:t>
      </w:r>
    </w:p>
    <w:p w:rsidR="00E77CB3" w:rsidRPr="00C24512" w:rsidRDefault="005B5811" w:rsidP="00C24512">
      <w:pPr>
        <w:pStyle w:val="ECHRPara"/>
        <w:rPr>
          <w:lang w:val="fr-FR"/>
        </w:rPr>
      </w:pPr>
      <w:r w:rsidRPr="00C24512">
        <w:rPr>
          <w:lang w:val="fr-FR"/>
        </w:rPr>
        <w:fldChar w:fldCharType="begin"/>
      </w:r>
      <w:r w:rsidRPr="00C24512">
        <w:rPr>
          <w:lang w:val="fr-FR"/>
        </w:rPr>
        <w:instrText xml:space="preserve"> SEQ level0 \*arabic </w:instrText>
      </w:r>
      <w:r w:rsidRPr="00C24512">
        <w:rPr>
          <w:lang w:val="fr-FR"/>
        </w:rPr>
        <w:fldChar w:fldCharType="separate"/>
      </w:r>
      <w:r w:rsidR="00C24512" w:rsidRPr="00C24512">
        <w:rPr>
          <w:noProof/>
          <w:lang w:val="fr-FR"/>
        </w:rPr>
        <w:t>84</w:t>
      </w:r>
      <w:r w:rsidRPr="00C24512">
        <w:rPr>
          <w:lang w:val="fr-FR"/>
        </w:rPr>
        <w:fldChar w:fldCharType="end"/>
      </w:r>
      <w:r w:rsidR="00E77CB3" w:rsidRPr="00C24512">
        <w:rPr>
          <w:lang w:val="fr-FR"/>
        </w:rPr>
        <w:t>.  </w:t>
      </w:r>
      <w:r w:rsidRPr="00C24512">
        <w:rPr>
          <w:lang w:val="fr-FR"/>
        </w:rPr>
        <w:t>Selon la jurisprudence de la Cour, un requérant ne peut obtenir le remboursement de ses frais et dépens que dans la mesure où se trouvent établis leur réalité, leur nécessité et le caractère raisonnable de leur taux. En l</w:t>
      </w:r>
      <w:r w:rsidR="00C24512" w:rsidRPr="00C24512">
        <w:rPr>
          <w:lang w:val="fr-FR"/>
        </w:rPr>
        <w:t>’</w:t>
      </w:r>
      <w:r w:rsidRPr="00C24512">
        <w:rPr>
          <w:lang w:val="fr-FR"/>
        </w:rPr>
        <w:t>espèce, compte</w:t>
      </w:r>
      <w:r w:rsidR="00E77CB3" w:rsidRPr="00C24512">
        <w:rPr>
          <w:lang w:val="fr-FR"/>
        </w:rPr>
        <w:t xml:space="preserve"> tenu des documents </w:t>
      </w:r>
      <w:r w:rsidR="00D576CF" w:rsidRPr="00C24512">
        <w:rPr>
          <w:lang w:val="fr-FR"/>
        </w:rPr>
        <w:t>dont elle dispose</w:t>
      </w:r>
      <w:r w:rsidR="00267331" w:rsidRPr="00C24512">
        <w:rPr>
          <w:lang w:val="fr-FR"/>
        </w:rPr>
        <w:t xml:space="preserve"> et de sa jurisprudence</w:t>
      </w:r>
      <w:r w:rsidR="00E77CB3" w:rsidRPr="00C24512">
        <w:rPr>
          <w:lang w:val="fr-FR"/>
        </w:rPr>
        <w:t xml:space="preserve">, la Cour </w:t>
      </w:r>
      <w:r w:rsidR="00750EAD" w:rsidRPr="00C24512">
        <w:rPr>
          <w:lang w:val="fr-FR"/>
        </w:rPr>
        <w:t xml:space="preserve">estime raisonnable la somme globale de </w:t>
      </w:r>
      <w:r w:rsidR="008A681C" w:rsidRPr="00C24512">
        <w:rPr>
          <w:lang w:val="fr-FR"/>
        </w:rPr>
        <w:t>2</w:t>
      </w:r>
      <w:r w:rsidR="00750EAD" w:rsidRPr="00C24512">
        <w:rPr>
          <w:lang w:val="fr-FR"/>
        </w:rPr>
        <w:t> 500 EUR tous frais confondus et l</w:t>
      </w:r>
      <w:r w:rsidR="00C24512" w:rsidRPr="00C24512">
        <w:rPr>
          <w:lang w:val="fr-FR"/>
        </w:rPr>
        <w:t>’</w:t>
      </w:r>
      <w:r w:rsidR="00750EAD" w:rsidRPr="00C24512">
        <w:rPr>
          <w:lang w:val="fr-FR"/>
        </w:rPr>
        <w:t xml:space="preserve">accorde </w:t>
      </w:r>
      <w:r w:rsidRPr="00C24512">
        <w:rPr>
          <w:lang w:val="fr-FR"/>
        </w:rPr>
        <w:t>à la requérante</w:t>
      </w:r>
      <w:r w:rsidR="00E77CB3" w:rsidRPr="00C24512">
        <w:rPr>
          <w:lang w:val="fr-FR"/>
        </w:rPr>
        <w:t>.</w:t>
      </w:r>
    </w:p>
    <w:p w:rsidR="00E77CB3" w:rsidRPr="00C24512" w:rsidRDefault="00E77CB3" w:rsidP="00C24512">
      <w:pPr>
        <w:pStyle w:val="ECHRHeading2"/>
        <w:rPr>
          <w:lang w:val="fr-FR"/>
        </w:rPr>
      </w:pPr>
      <w:r w:rsidRPr="00C24512">
        <w:rPr>
          <w:lang w:val="fr-FR"/>
        </w:rPr>
        <w:t>C.  Intérêts moratoires</w:t>
      </w:r>
    </w:p>
    <w:p w:rsidR="00E77CB3" w:rsidRPr="00C24512" w:rsidRDefault="005B5811" w:rsidP="00C24512">
      <w:pPr>
        <w:pStyle w:val="ECHRPara"/>
        <w:rPr>
          <w:lang w:val="fr-FR"/>
        </w:rPr>
      </w:pPr>
      <w:r w:rsidRPr="00C24512">
        <w:rPr>
          <w:lang w:val="fr-FR"/>
        </w:rPr>
        <w:fldChar w:fldCharType="begin"/>
      </w:r>
      <w:r w:rsidRPr="00C24512">
        <w:rPr>
          <w:lang w:val="fr-FR"/>
        </w:rPr>
        <w:instrText xml:space="preserve"> SEQ level0 \*arabic </w:instrText>
      </w:r>
      <w:r w:rsidRPr="00C24512">
        <w:rPr>
          <w:lang w:val="fr-FR"/>
        </w:rPr>
        <w:fldChar w:fldCharType="separate"/>
      </w:r>
      <w:r w:rsidR="00C24512" w:rsidRPr="00C24512">
        <w:rPr>
          <w:noProof/>
          <w:lang w:val="fr-FR"/>
        </w:rPr>
        <w:t>85</w:t>
      </w:r>
      <w:r w:rsidRPr="00C24512">
        <w:rPr>
          <w:lang w:val="fr-FR"/>
        </w:rPr>
        <w:fldChar w:fldCharType="end"/>
      </w:r>
      <w:r w:rsidR="00E77CB3" w:rsidRPr="00C24512">
        <w:rPr>
          <w:lang w:val="fr-FR"/>
        </w:rPr>
        <w:t>.  La Cour juge approprié de calquer le taux des intérêts moratoires sur le taux d</w:t>
      </w:r>
      <w:r w:rsidR="00C24512" w:rsidRPr="00C24512">
        <w:rPr>
          <w:lang w:val="fr-FR"/>
        </w:rPr>
        <w:t>’</w:t>
      </w:r>
      <w:r w:rsidR="00E77CB3" w:rsidRPr="00C24512">
        <w:rPr>
          <w:lang w:val="fr-FR"/>
        </w:rPr>
        <w:t>intérêt de la facilité de prêt marginal de la Banque centrale européenne majoré de trois points de pourcentage.</w:t>
      </w:r>
    </w:p>
    <w:p w:rsidR="00E77CB3" w:rsidRPr="00C24512" w:rsidRDefault="00E77CB3" w:rsidP="00C24512">
      <w:pPr>
        <w:pStyle w:val="ECHRTitle1"/>
        <w:rPr>
          <w:lang w:val="fr-FR"/>
        </w:rPr>
      </w:pPr>
      <w:r w:rsidRPr="00C24512">
        <w:rPr>
          <w:lang w:val="fr-FR"/>
        </w:rPr>
        <w:t>PAR CES MOTIFS, LA COUR</w:t>
      </w:r>
      <w:r w:rsidR="005B5811" w:rsidRPr="00C24512">
        <w:rPr>
          <w:lang w:val="fr-FR"/>
        </w:rPr>
        <w:t>, À L</w:t>
      </w:r>
      <w:r w:rsidR="00C24512" w:rsidRPr="00C24512">
        <w:rPr>
          <w:lang w:val="fr-FR"/>
        </w:rPr>
        <w:t>’</w:t>
      </w:r>
      <w:r w:rsidR="005B5811" w:rsidRPr="00C24512">
        <w:rPr>
          <w:lang w:val="fr-FR"/>
        </w:rPr>
        <w:t>UNANIMITÉ,</w:t>
      </w:r>
    </w:p>
    <w:p w:rsidR="00FB2B45" w:rsidRPr="00C24512" w:rsidRDefault="00FB2B45" w:rsidP="00C24512">
      <w:pPr>
        <w:pStyle w:val="JuList"/>
        <w:rPr>
          <w:lang w:val="fr-FR"/>
        </w:rPr>
      </w:pPr>
      <w:r w:rsidRPr="00C24512">
        <w:rPr>
          <w:lang w:val="fr-FR"/>
        </w:rPr>
        <w:t>1.  </w:t>
      </w:r>
      <w:r w:rsidRPr="00C24512">
        <w:rPr>
          <w:i/>
          <w:lang w:val="fr-FR"/>
        </w:rPr>
        <w:t>Déclare</w:t>
      </w:r>
      <w:r w:rsidRPr="00C24512">
        <w:rPr>
          <w:lang w:val="fr-FR"/>
        </w:rPr>
        <w:t xml:space="preserve"> </w:t>
      </w:r>
      <w:r w:rsidR="005B5811" w:rsidRPr="00C24512">
        <w:rPr>
          <w:lang w:val="fr-FR"/>
        </w:rPr>
        <w:t>la requête recevable</w:t>
      </w:r>
      <w:r w:rsidR="00886E41" w:rsidRPr="00C24512">
        <w:rPr>
          <w:lang w:val="fr-FR"/>
        </w:rPr>
        <w:t> ;</w:t>
      </w:r>
    </w:p>
    <w:p w:rsidR="00E77CB3" w:rsidRPr="00C24512" w:rsidRDefault="00E77CB3" w:rsidP="00C24512">
      <w:pPr>
        <w:pStyle w:val="JuList"/>
        <w:rPr>
          <w:lang w:val="fr-FR"/>
        </w:rPr>
      </w:pPr>
    </w:p>
    <w:p w:rsidR="00E77CB3" w:rsidRPr="00C24512" w:rsidRDefault="00BB75D8" w:rsidP="00C24512">
      <w:pPr>
        <w:pStyle w:val="JuList"/>
        <w:rPr>
          <w:lang w:val="fr-FR"/>
        </w:rPr>
      </w:pPr>
      <w:r w:rsidRPr="00C24512">
        <w:rPr>
          <w:lang w:val="fr-FR"/>
        </w:rPr>
        <w:t>2</w:t>
      </w:r>
      <w:r w:rsidR="00E77CB3" w:rsidRPr="00C24512">
        <w:rPr>
          <w:lang w:val="fr-FR"/>
        </w:rPr>
        <w:t>.  </w:t>
      </w:r>
      <w:r w:rsidR="00E77CB3" w:rsidRPr="00C24512">
        <w:rPr>
          <w:i/>
          <w:lang w:val="fr-FR"/>
        </w:rPr>
        <w:t>Dit</w:t>
      </w:r>
      <w:r w:rsidR="00E77CB3" w:rsidRPr="00C24512">
        <w:rPr>
          <w:lang w:val="fr-FR"/>
        </w:rPr>
        <w:t xml:space="preserve"> qu</w:t>
      </w:r>
      <w:r w:rsidR="00C24512" w:rsidRPr="00C24512">
        <w:rPr>
          <w:lang w:val="fr-FR"/>
        </w:rPr>
        <w:t>’</w:t>
      </w:r>
      <w:r w:rsidR="00E77CB3" w:rsidRPr="00C24512">
        <w:rPr>
          <w:lang w:val="fr-FR"/>
        </w:rPr>
        <w:t>il y a eu violation de l</w:t>
      </w:r>
      <w:r w:rsidR="00C24512" w:rsidRPr="00C24512">
        <w:rPr>
          <w:lang w:val="fr-FR"/>
        </w:rPr>
        <w:t>’</w:t>
      </w:r>
      <w:r w:rsidR="00E77CB3" w:rsidRPr="00C24512">
        <w:rPr>
          <w:lang w:val="fr-FR"/>
        </w:rPr>
        <w:t xml:space="preserve">article </w:t>
      </w:r>
      <w:r w:rsidRPr="00C24512">
        <w:rPr>
          <w:lang w:val="fr-FR"/>
        </w:rPr>
        <w:t>8</w:t>
      </w:r>
      <w:r w:rsidR="00E77CB3" w:rsidRPr="00C24512">
        <w:rPr>
          <w:lang w:val="fr-FR"/>
        </w:rPr>
        <w:t xml:space="preserve"> de la Convention ;</w:t>
      </w:r>
    </w:p>
    <w:p w:rsidR="00E77CB3" w:rsidRPr="00C24512" w:rsidRDefault="00E77CB3" w:rsidP="00C24512">
      <w:pPr>
        <w:pStyle w:val="JuList"/>
        <w:rPr>
          <w:lang w:val="fr-FR"/>
        </w:rPr>
      </w:pPr>
    </w:p>
    <w:p w:rsidR="00E77CB3" w:rsidRPr="00C24512" w:rsidRDefault="00BB75D8" w:rsidP="00C24512">
      <w:pPr>
        <w:pStyle w:val="JuList"/>
        <w:rPr>
          <w:lang w:val="fr-FR"/>
        </w:rPr>
      </w:pPr>
      <w:r w:rsidRPr="00C24512">
        <w:rPr>
          <w:lang w:val="fr-FR"/>
        </w:rPr>
        <w:t>3</w:t>
      </w:r>
      <w:r w:rsidR="00E77CB3" w:rsidRPr="00C24512">
        <w:rPr>
          <w:lang w:val="fr-FR"/>
        </w:rPr>
        <w:t>.  </w:t>
      </w:r>
      <w:r w:rsidR="00E77CB3" w:rsidRPr="00C24512">
        <w:rPr>
          <w:i/>
          <w:lang w:val="fr-FR"/>
        </w:rPr>
        <w:t>Dit</w:t>
      </w:r>
      <w:r w:rsidR="005B5811" w:rsidRPr="00C24512">
        <w:rPr>
          <w:lang w:val="fr-FR"/>
        </w:rPr>
        <w:t xml:space="preserve"> </w:t>
      </w:r>
      <w:r w:rsidR="00E77CB3" w:rsidRPr="00C24512">
        <w:rPr>
          <w:lang w:val="fr-FR"/>
        </w:rPr>
        <w:t>qu</w:t>
      </w:r>
      <w:r w:rsidR="00C24512" w:rsidRPr="00C24512">
        <w:rPr>
          <w:lang w:val="fr-FR"/>
        </w:rPr>
        <w:t>’</w:t>
      </w:r>
      <w:r w:rsidR="00E77CB3" w:rsidRPr="00C24512">
        <w:rPr>
          <w:lang w:val="fr-FR"/>
        </w:rPr>
        <w:t>il n</w:t>
      </w:r>
      <w:r w:rsidR="00C24512" w:rsidRPr="00C24512">
        <w:rPr>
          <w:lang w:val="fr-FR"/>
        </w:rPr>
        <w:t>’</w:t>
      </w:r>
      <w:r w:rsidR="00E77CB3" w:rsidRPr="00C24512">
        <w:rPr>
          <w:lang w:val="fr-FR"/>
        </w:rPr>
        <w:t>y a pas lieu d</w:t>
      </w:r>
      <w:r w:rsidR="00C24512" w:rsidRPr="00C24512">
        <w:rPr>
          <w:lang w:val="fr-FR"/>
        </w:rPr>
        <w:t>’</w:t>
      </w:r>
      <w:r w:rsidR="00E77CB3" w:rsidRPr="00C24512">
        <w:rPr>
          <w:lang w:val="fr-FR"/>
        </w:rPr>
        <w:t>examiner le grief tiré de l</w:t>
      </w:r>
      <w:r w:rsidR="00C24512" w:rsidRPr="00C24512">
        <w:rPr>
          <w:lang w:val="fr-FR"/>
        </w:rPr>
        <w:t>’</w:t>
      </w:r>
      <w:r w:rsidR="00E77CB3" w:rsidRPr="00C24512">
        <w:rPr>
          <w:lang w:val="fr-FR"/>
        </w:rPr>
        <w:t xml:space="preserve">article </w:t>
      </w:r>
      <w:r w:rsidRPr="00C24512">
        <w:rPr>
          <w:lang w:val="fr-FR"/>
        </w:rPr>
        <w:t>14</w:t>
      </w:r>
      <w:r w:rsidR="00E77CB3" w:rsidRPr="00C24512">
        <w:rPr>
          <w:lang w:val="fr-FR"/>
        </w:rPr>
        <w:t xml:space="preserve"> de la Convention ;</w:t>
      </w:r>
    </w:p>
    <w:p w:rsidR="00E77CB3" w:rsidRPr="00C24512" w:rsidRDefault="00E77CB3" w:rsidP="00C24512">
      <w:pPr>
        <w:pStyle w:val="JuList"/>
        <w:rPr>
          <w:lang w:val="fr-FR"/>
        </w:rPr>
      </w:pPr>
    </w:p>
    <w:p w:rsidR="00E77CB3" w:rsidRPr="00C24512" w:rsidRDefault="00BB75D8" w:rsidP="00C24512">
      <w:pPr>
        <w:pStyle w:val="JuList"/>
        <w:rPr>
          <w:lang w:val="fr-FR"/>
        </w:rPr>
      </w:pPr>
      <w:r w:rsidRPr="00C24512">
        <w:rPr>
          <w:lang w:val="fr-FR"/>
        </w:rPr>
        <w:t>4</w:t>
      </w:r>
      <w:r w:rsidR="005B5811" w:rsidRPr="00C24512">
        <w:rPr>
          <w:lang w:val="fr-FR"/>
        </w:rPr>
        <w:t>.  </w:t>
      </w:r>
      <w:r w:rsidR="005B5811" w:rsidRPr="00C24512">
        <w:rPr>
          <w:i/>
          <w:lang w:val="fr-FR"/>
        </w:rPr>
        <w:t>Dit</w:t>
      </w:r>
      <w:r w:rsidR="005B5811" w:rsidRPr="00C24512">
        <w:rPr>
          <w:lang w:val="fr-FR"/>
        </w:rPr>
        <w:t xml:space="preserve"> que le constat d</w:t>
      </w:r>
      <w:r w:rsidR="00C24512" w:rsidRPr="00C24512">
        <w:rPr>
          <w:lang w:val="fr-FR"/>
        </w:rPr>
        <w:t>’</w:t>
      </w:r>
      <w:r w:rsidR="005B5811" w:rsidRPr="00C24512">
        <w:rPr>
          <w:lang w:val="fr-FR"/>
        </w:rPr>
        <w:t>une violation fournit en soi une satisfaction équitable suffisante pour le dommage moral subi par la requérante ;</w:t>
      </w:r>
    </w:p>
    <w:p w:rsidR="00E77CB3" w:rsidRPr="00C24512" w:rsidRDefault="00E77CB3" w:rsidP="00C24512">
      <w:pPr>
        <w:pStyle w:val="JuList"/>
        <w:rPr>
          <w:lang w:val="fr-FR"/>
        </w:rPr>
      </w:pPr>
    </w:p>
    <w:p w:rsidR="00E77CB3" w:rsidRPr="00C24512" w:rsidRDefault="00BB75D8" w:rsidP="00C24512">
      <w:pPr>
        <w:pStyle w:val="JuList"/>
        <w:rPr>
          <w:lang w:val="fr-FR"/>
        </w:rPr>
      </w:pPr>
      <w:r w:rsidRPr="00C24512">
        <w:rPr>
          <w:lang w:val="fr-FR"/>
        </w:rPr>
        <w:t>5</w:t>
      </w:r>
      <w:r w:rsidR="00E77CB3" w:rsidRPr="00C24512">
        <w:rPr>
          <w:lang w:val="fr-FR"/>
        </w:rPr>
        <w:t>.  </w:t>
      </w:r>
      <w:r w:rsidR="00E77CB3" w:rsidRPr="00C24512">
        <w:rPr>
          <w:i/>
          <w:lang w:val="fr-FR"/>
        </w:rPr>
        <w:t>Dit</w:t>
      </w:r>
    </w:p>
    <w:p w:rsidR="00E77CB3" w:rsidRPr="00C24512" w:rsidRDefault="00E77CB3" w:rsidP="00C24512">
      <w:pPr>
        <w:pStyle w:val="JuLista"/>
        <w:rPr>
          <w:lang w:val="fr-FR"/>
        </w:rPr>
      </w:pPr>
      <w:r w:rsidRPr="00C24512">
        <w:rPr>
          <w:lang w:val="fr-FR"/>
        </w:rPr>
        <w:t>a)  que l</w:t>
      </w:r>
      <w:r w:rsidR="00C24512" w:rsidRPr="00C24512">
        <w:rPr>
          <w:lang w:val="fr-FR"/>
        </w:rPr>
        <w:t>’</w:t>
      </w:r>
      <w:r w:rsidRPr="00C24512">
        <w:rPr>
          <w:lang w:val="fr-FR"/>
        </w:rPr>
        <w:t xml:space="preserve">État défendeur doit verser </w:t>
      </w:r>
      <w:r w:rsidR="005B5811" w:rsidRPr="00C24512">
        <w:rPr>
          <w:lang w:val="fr-FR"/>
        </w:rPr>
        <w:t>à la requérante</w:t>
      </w:r>
      <w:r w:rsidRPr="00C24512">
        <w:rPr>
          <w:lang w:val="fr-FR"/>
        </w:rPr>
        <w:t>, dans les trois mois</w:t>
      </w:r>
      <w:r w:rsidR="001B0D5B" w:rsidRPr="00C24512">
        <w:rPr>
          <w:lang w:val="fr-FR"/>
        </w:rPr>
        <w:t xml:space="preserve"> </w:t>
      </w:r>
      <w:r w:rsidR="005B5811" w:rsidRPr="00C24512">
        <w:rPr>
          <w:lang w:val="fr-FR"/>
        </w:rPr>
        <w:t>à compter du jour où l</w:t>
      </w:r>
      <w:r w:rsidR="00C24512" w:rsidRPr="00C24512">
        <w:rPr>
          <w:lang w:val="fr-FR"/>
        </w:rPr>
        <w:t>’</w:t>
      </w:r>
      <w:r w:rsidR="005B5811" w:rsidRPr="00C24512">
        <w:rPr>
          <w:lang w:val="fr-FR"/>
        </w:rPr>
        <w:t>arrêt sera devenu définitif conformément à l</w:t>
      </w:r>
      <w:r w:rsidR="00C24512" w:rsidRPr="00C24512">
        <w:rPr>
          <w:lang w:val="fr-FR"/>
        </w:rPr>
        <w:t>’</w:t>
      </w:r>
      <w:r w:rsidR="005B5811" w:rsidRPr="00C24512">
        <w:rPr>
          <w:lang w:val="fr-FR"/>
        </w:rPr>
        <w:t>article 44 § 2 de la Convention</w:t>
      </w:r>
      <w:r w:rsidR="00886E41" w:rsidRPr="00C24512">
        <w:rPr>
          <w:lang w:val="fr-FR"/>
        </w:rPr>
        <w:t xml:space="preserve">, </w:t>
      </w:r>
      <w:r w:rsidR="008A681C" w:rsidRPr="00C24512">
        <w:rPr>
          <w:lang w:val="fr-FR"/>
        </w:rPr>
        <w:t>la somme de 2</w:t>
      </w:r>
      <w:r w:rsidR="001B0D5B" w:rsidRPr="00C24512">
        <w:rPr>
          <w:lang w:val="fr-FR"/>
        </w:rPr>
        <w:t> 500</w:t>
      </w:r>
      <w:r w:rsidRPr="00C24512">
        <w:rPr>
          <w:lang w:val="fr-FR" w:eastAsia="en-GB"/>
        </w:rPr>
        <w:t xml:space="preserve"> EUR (</w:t>
      </w:r>
      <w:r w:rsidR="008A681C" w:rsidRPr="00C24512">
        <w:rPr>
          <w:lang w:val="fr-FR" w:eastAsia="en-GB"/>
        </w:rPr>
        <w:t>deux</w:t>
      </w:r>
      <w:r w:rsidR="001B0D5B" w:rsidRPr="00C24512">
        <w:rPr>
          <w:lang w:val="fr-FR" w:eastAsia="en-GB"/>
        </w:rPr>
        <w:t xml:space="preserve"> mille cinq cent</w:t>
      </w:r>
      <w:r w:rsidR="00886E41" w:rsidRPr="00C24512">
        <w:rPr>
          <w:lang w:val="fr-FR" w:eastAsia="en-GB"/>
        </w:rPr>
        <w:t>s</w:t>
      </w:r>
      <w:r w:rsidR="001B0D5B" w:rsidRPr="00C24512">
        <w:rPr>
          <w:lang w:val="fr-FR" w:eastAsia="en-GB"/>
        </w:rPr>
        <w:t xml:space="preserve"> euros)</w:t>
      </w:r>
      <w:r w:rsidRPr="00C24512">
        <w:rPr>
          <w:lang w:val="fr-FR" w:eastAsia="en-GB"/>
        </w:rPr>
        <w:t xml:space="preserve">, plus tout montant </w:t>
      </w:r>
      <w:r w:rsidR="005E37C6" w:rsidRPr="00C24512">
        <w:rPr>
          <w:lang w:val="fr-FR" w:eastAsia="en-GB"/>
        </w:rPr>
        <w:t xml:space="preserve">pouvant être dû par </w:t>
      </w:r>
      <w:r w:rsidR="005B5811" w:rsidRPr="00C24512">
        <w:rPr>
          <w:lang w:val="fr-FR"/>
        </w:rPr>
        <w:t>la requérante</w:t>
      </w:r>
      <w:r w:rsidR="005E37C6" w:rsidRPr="00C24512">
        <w:rPr>
          <w:lang w:val="fr-FR" w:eastAsia="en-GB"/>
        </w:rPr>
        <w:t xml:space="preserve"> à titre d</w:t>
      </w:r>
      <w:r w:rsidR="00C24512" w:rsidRPr="00C24512">
        <w:rPr>
          <w:lang w:val="fr-FR" w:eastAsia="en-GB"/>
        </w:rPr>
        <w:t>’</w:t>
      </w:r>
      <w:r w:rsidR="005E37C6" w:rsidRPr="00C24512">
        <w:rPr>
          <w:lang w:val="fr-FR" w:eastAsia="en-GB"/>
        </w:rPr>
        <w:t>impôt, pour frais et dépens</w:t>
      </w:r>
      <w:r w:rsidRPr="00C24512">
        <w:rPr>
          <w:lang w:val="fr-FR" w:eastAsia="en-GB"/>
        </w:rPr>
        <w:t> ;</w:t>
      </w:r>
    </w:p>
    <w:p w:rsidR="003175BA" w:rsidRPr="00C24512" w:rsidRDefault="00E77CB3" w:rsidP="00C24512">
      <w:pPr>
        <w:pStyle w:val="JuLista"/>
        <w:rPr>
          <w:lang w:val="fr-FR"/>
        </w:rPr>
      </w:pPr>
      <w:r w:rsidRPr="00C24512">
        <w:rPr>
          <w:lang w:val="fr-FR"/>
        </w:rPr>
        <w:t>b)  qu</w:t>
      </w:r>
      <w:r w:rsidR="00C24512" w:rsidRPr="00C24512">
        <w:rPr>
          <w:lang w:val="fr-FR"/>
        </w:rPr>
        <w:t>’</w:t>
      </w:r>
      <w:r w:rsidRPr="00C24512">
        <w:rPr>
          <w:lang w:val="fr-FR"/>
        </w:rPr>
        <w:t>à compter de l</w:t>
      </w:r>
      <w:r w:rsidR="00C24512" w:rsidRPr="00C24512">
        <w:rPr>
          <w:lang w:val="fr-FR"/>
        </w:rPr>
        <w:t>’</w:t>
      </w:r>
      <w:r w:rsidRPr="00C24512">
        <w:rPr>
          <w:lang w:val="fr-FR"/>
        </w:rPr>
        <w:t>expiration dudit délai et jusqu</w:t>
      </w:r>
      <w:r w:rsidR="00C24512" w:rsidRPr="00C24512">
        <w:rPr>
          <w:lang w:val="fr-FR"/>
        </w:rPr>
        <w:t>’</w:t>
      </w:r>
      <w:r w:rsidRPr="00C24512">
        <w:rPr>
          <w:lang w:val="fr-FR"/>
        </w:rPr>
        <w:t>au versement, ce montant ser</w:t>
      </w:r>
      <w:r w:rsidR="00886E41" w:rsidRPr="00C24512">
        <w:rPr>
          <w:lang w:val="fr-FR"/>
        </w:rPr>
        <w:t>a</w:t>
      </w:r>
      <w:r w:rsidRPr="00C24512">
        <w:rPr>
          <w:lang w:val="fr-FR"/>
        </w:rPr>
        <w:t xml:space="preserve"> à majorer d</w:t>
      </w:r>
      <w:r w:rsidR="00C24512" w:rsidRPr="00C24512">
        <w:rPr>
          <w:lang w:val="fr-FR"/>
        </w:rPr>
        <w:t>’</w:t>
      </w:r>
      <w:r w:rsidRPr="00C24512">
        <w:rPr>
          <w:lang w:val="fr-FR"/>
        </w:rPr>
        <w:t>un intérêt simple à un taux égal à celui de la facilité de prêt marginal de la Banque centrale européenne applicable pendant cette période, augmenté de trois points de pourcentage ;</w:t>
      </w:r>
    </w:p>
    <w:p w:rsidR="00E77CB3" w:rsidRPr="00C24512" w:rsidRDefault="00E77CB3" w:rsidP="00C24512">
      <w:pPr>
        <w:pStyle w:val="JuLista"/>
        <w:rPr>
          <w:lang w:val="fr-FR"/>
        </w:rPr>
      </w:pPr>
    </w:p>
    <w:p w:rsidR="00E77CB3" w:rsidRPr="00C24512" w:rsidRDefault="00BB75D8" w:rsidP="00C24512">
      <w:pPr>
        <w:pStyle w:val="JuList"/>
        <w:rPr>
          <w:lang w:val="fr-FR"/>
        </w:rPr>
      </w:pPr>
      <w:r w:rsidRPr="00C24512">
        <w:rPr>
          <w:lang w:val="fr-FR"/>
        </w:rPr>
        <w:t>6</w:t>
      </w:r>
      <w:r w:rsidR="00E77CB3" w:rsidRPr="00C24512">
        <w:rPr>
          <w:lang w:val="fr-FR"/>
        </w:rPr>
        <w:t>.  </w:t>
      </w:r>
      <w:r w:rsidR="00E77CB3" w:rsidRPr="00C24512">
        <w:rPr>
          <w:i/>
          <w:lang w:val="fr-FR"/>
        </w:rPr>
        <w:t>Rejette</w:t>
      </w:r>
      <w:r w:rsidR="005B5811" w:rsidRPr="00C24512">
        <w:rPr>
          <w:lang w:val="fr-FR"/>
        </w:rPr>
        <w:t xml:space="preserve"> </w:t>
      </w:r>
      <w:r w:rsidR="00E77CB3" w:rsidRPr="00C24512">
        <w:rPr>
          <w:lang w:val="fr-FR"/>
        </w:rPr>
        <w:t>la demande de satisfaction équitable pour le surplus.</w:t>
      </w:r>
    </w:p>
    <w:p w:rsidR="00E77CB3" w:rsidRPr="00C24512" w:rsidRDefault="00E77CB3" w:rsidP="00C24512">
      <w:pPr>
        <w:pStyle w:val="JuParaLast"/>
        <w:keepNext w:val="0"/>
        <w:keepLines w:val="0"/>
        <w:rPr>
          <w:lang w:val="fr-FR"/>
        </w:rPr>
      </w:pPr>
      <w:r w:rsidRPr="00C24512">
        <w:rPr>
          <w:lang w:val="fr-FR"/>
        </w:rPr>
        <w:lastRenderedPageBreak/>
        <w:t>Fait en français, puis communiqué par écrit le</w:t>
      </w:r>
      <w:r w:rsidR="00EB3584" w:rsidRPr="00C24512">
        <w:rPr>
          <w:lang w:val="fr-FR"/>
        </w:rPr>
        <w:t xml:space="preserve"> 11 octobre 2018</w:t>
      </w:r>
      <w:r w:rsidRPr="00C24512">
        <w:rPr>
          <w:lang w:val="fr-FR"/>
        </w:rPr>
        <w:t>, en application de l</w:t>
      </w:r>
      <w:r w:rsidR="00C24512" w:rsidRPr="00C24512">
        <w:rPr>
          <w:lang w:val="fr-FR"/>
        </w:rPr>
        <w:t>’</w:t>
      </w:r>
      <w:r w:rsidRPr="00C24512">
        <w:rPr>
          <w:lang w:val="fr-FR"/>
        </w:rPr>
        <w:t>article 77 §§ 2 et 3 du règlement</w:t>
      </w:r>
      <w:r w:rsidR="00AC0824" w:rsidRPr="00C24512">
        <w:rPr>
          <w:lang w:val="fr-FR"/>
        </w:rPr>
        <w:t xml:space="preserve"> de la Cour</w:t>
      </w:r>
      <w:r w:rsidRPr="00C24512">
        <w:rPr>
          <w:lang w:val="fr-FR"/>
        </w:rPr>
        <w:t>.</w:t>
      </w:r>
    </w:p>
    <w:p w:rsidR="004D15F3" w:rsidRPr="00C24512" w:rsidRDefault="005B5811" w:rsidP="00C24512">
      <w:pPr>
        <w:pStyle w:val="JuSigned"/>
        <w:tabs>
          <w:tab w:val="clear" w:pos="6407"/>
          <w:tab w:val="center" w:pos="5954"/>
        </w:tabs>
        <w:rPr>
          <w:lang w:val="fr-FR"/>
        </w:rPr>
      </w:pPr>
      <w:r w:rsidRPr="00C24512">
        <w:rPr>
          <w:lang w:val="fr-FR"/>
        </w:rPr>
        <w:tab/>
        <w:t>Abel Campos</w:t>
      </w:r>
      <w:r w:rsidR="00E77CB3" w:rsidRPr="00C24512">
        <w:rPr>
          <w:lang w:val="fr-FR"/>
        </w:rPr>
        <w:tab/>
      </w:r>
      <w:r w:rsidRPr="00C24512">
        <w:rPr>
          <w:szCs w:val="24"/>
          <w:lang w:val="fr-FR"/>
        </w:rPr>
        <w:t xml:space="preserve">Linos-Alexandre </w:t>
      </w:r>
      <w:proofErr w:type="spellStart"/>
      <w:r w:rsidRPr="00C24512">
        <w:rPr>
          <w:szCs w:val="24"/>
          <w:lang w:val="fr-FR"/>
        </w:rPr>
        <w:t>Sicilianos</w:t>
      </w:r>
      <w:proofErr w:type="spellEnd"/>
      <w:r w:rsidR="00E77CB3" w:rsidRPr="00C24512">
        <w:rPr>
          <w:lang w:val="fr-FR"/>
        </w:rPr>
        <w:br/>
      </w:r>
      <w:r w:rsidR="00E77CB3" w:rsidRPr="00C24512">
        <w:rPr>
          <w:lang w:val="fr-FR"/>
        </w:rPr>
        <w:tab/>
      </w:r>
      <w:r w:rsidRPr="00C24512">
        <w:rPr>
          <w:lang w:val="fr-FR"/>
        </w:rPr>
        <w:t>Greffier</w:t>
      </w:r>
      <w:r w:rsidR="00E77CB3" w:rsidRPr="00C24512">
        <w:rPr>
          <w:lang w:val="fr-FR"/>
        </w:rPr>
        <w:tab/>
      </w:r>
      <w:r w:rsidRPr="00C24512">
        <w:rPr>
          <w:lang w:val="fr-FR"/>
        </w:rPr>
        <w:t>Président</w:t>
      </w:r>
    </w:p>
    <w:sectPr w:rsidR="004D15F3" w:rsidRPr="00C24512" w:rsidSect="00832312">
      <w:headerReference w:type="even" r:id="rId15"/>
      <w:headerReference w:type="default" r:id="rId16"/>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62F" w:rsidRPr="001C3AE1" w:rsidRDefault="00BD462F" w:rsidP="00E77CB3">
      <w:pPr>
        <w:rPr>
          <w:lang w:val="fr-FR"/>
        </w:rPr>
      </w:pPr>
      <w:r w:rsidRPr="001C3AE1">
        <w:rPr>
          <w:lang w:val="fr-FR"/>
        </w:rPr>
        <w:separator/>
      </w:r>
    </w:p>
  </w:endnote>
  <w:endnote w:type="continuationSeparator" w:id="0">
    <w:p w:rsidR="00BD462F" w:rsidRPr="001C3AE1" w:rsidRDefault="00BD462F" w:rsidP="00E77CB3">
      <w:pPr>
        <w:rPr>
          <w:lang w:val="fr-FR"/>
        </w:rPr>
      </w:pPr>
      <w:r w:rsidRPr="001C3AE1">
        <w:rPr>
          <w:lang w:val="fr-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DEC" w:rsidRPr="00150BFA" w:rsidRDefault="008F7DEC" w:rsidP="00EB3584">
    <w:pPr>
      <w:jc w:val="center"/>
    </w:pPr>
    <w:r>
      <w:rPr>
        <w:noProof/>
        <w:lang w:val="it-IT" w:eastAsia="it-IT"/>
      </w:rPr>
      <w:drawing>
        <wp:inline distT="0" distB="0" distL="0" distR="0" wp14:anchorId="71B798D5" wp14:editId="2B6F0B28">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8F7DEC" w:rsidRDefault="008F7DE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62F" w:rsidRPr="001C3AE1" w:rsidRDefault="00BD462F" w:rsidP="00E77CB3">
      <w:pPr>
        <w:rPr>
          <w:lang w:val="fr-FR"/>
        </w:rPr>
      </w:pPr>
      <w:r w:rsidRPr="001C3AE1">
        <w:rPr>
          <w:lang w:val="fr-FR"/>
        </w:rPr>
        <w:separator/>
      </w:r>
    </w:p>
  </w:footnote>
  <w:footnote w:type="continuationSeparator" w:id="0">
    <w:p w:rsidR="00BD462F" w:rsidRPr="001C3AE1" w:rsidRDefault="00BD462F" w:rsidP="00E77CB3">
      <w:pPr>
        <w:rPr>
          <w:lang w:val="fr-FR"/>
        </w:rPr>
      </w:pPr>
      <w:r w:rsidRPr="001C3AE1">
        <w:rPr>
          <w:lang w:val="fr-FR"/>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DEC" w:rsidRPr="00832312" w:rsidRDefault="008F7DEC" w:rsidP="00832312">
    <w:pPr>
      <w:pStyle w:val="Intestazio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DEC" w:rsidRPr="00A45145" w:rsidRDefault="008F7DEC" w:rsidP="00EB3584">
    <w:pPr>
      <w:jc w:val="center"/>
    </w:pPr>
    <w:r>
      <w:rPr>
        <w:noProof/>
        <w:lang w:val="it-IT" w:eastAsia="it-IT"/>
      </w:rPr>
      <w:drawing>
        <wp:inline distT="0" distB="0" distL="0" distR="0" wp14:anchorId="0B7063D6" wp14:editId="71B2C189">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DEC" w:rsidRPr="00386AA5" w:rsidRDefault="008F7DEC" w:rsidP="00C611D8">
    <w:pPr>
      <w:pStyle w:val="ECHRHeader"/>
      <w:rPr>
        <w:lang w:val="en-US"/>
      </w:rPr>
    </w:pPr>
    <w:r>
      <w:rPr>
        <w:rStyle w:val="Numeropagina"/>
        <w:lang w:val="en-US"/>
      </w:rPr>
      <w:fldChar w:fldCharType="begin"/>
    </w:r>
    <w:r>
      <w:rPr>
        <w:rStyle w:val="Numeropagina"/>
        <w:lang w:val="en-US"/>
      </w:rPr>
      <w:instrText xml:space="preserve"> PAGE </w:instrText>
    </w:r>
    <w:r>
      <w:rPr>
        <w:rStyle w:val="Numeropagina"/>
        <w:lang w:val="en-US"/>
      </w:rPr>
      <w:fldChar w:fldCharType="separate"/>
    </w:r>
    <w:r w:rsidR="00242A0E">
      <w:rPr>
        <w:rStyle w:val="Numeropagina"/>
        <w:noProof/>
        <w:lang w:val="en-US"/>
      </w:rPr>
      <w:t>18</w:t>
    </w:r>
    <w:r>
      <w:rPr>
        <w:rStyle w:val="Numeropagina"/>
        <w:lang w:val="en-US"/>
      </w:rPr>
      <w:fldChar w:fldCharType="end"/>
    </w:r>
    <w:r w:rsidRPr="00386AA5">
      <w:rPr>
        <w:rStyle w:val="Numeropagina"/>
        <w:lang w:val="en-US"/>
      </w:rPr>
      <w:tab/>
    </w:r>
    <w:r>
      <w:rPr>
        <w:noProof/>
        <w:lang w:val="en-US"/>
      </w:rPr>
      <w:t>ARRÊT</w:t>
    </w:r>
    <w:r w:rsidRPr="00386AA5">
      <w:rPr>
        <w:lang w:val="en-US"/>
      </w:rPr>
      <w:t xml:space="preserve"> </w:t>
    </w:r>
    <w:r>
      <w:rPr>
        <w:lang w:val="en-US"/>
      </w:rPr>
      <w:t>S.V. c. ITALIE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DEC" w:rsidRPr="001C3AE1" w:rsidRDefault="008F7DEC" w:rsidP="00C63990">
    <w:pPr>
      <w:pStyle w:val="ECHRHeader"/>
      <w:rPr>
        <w:lang w:val="fr-FR"/>
      </w:rPr>
    </w:pPr>
    <w:r w:rsidRPr="001C3AE1">
      <w:rPr>
        <w:lang w:val="fr-FR"/>
      </w:rPr>
      <w:tab/>
    </w:r>
    <w:r>
      <w:rPr>
        <w:noProof/>
        <w:lang w:val="en-US"/>
      </w:rPr>
      <w:t>ARRÊT</w:t>
    </w:r>
    <w:r w:rsidRPr="00386AA5">
      <w:rPr>
        <w:lang w:val="en-US"/>
      </w:rPr>
      <w:t xml:space="preserve"> </w:t>
    </w:r>
    <w:r>
      <w:rPr>
        <w:lang w:val="en-US"/>
      </w:rPr>
      <w:t>S.V. c. ITALIE</w:t>
    </w:r>
    <w:r w:rsidRPr="00386AA5">
      <w:rPr>
        <w:lang w:val="en-US"/>
      </w:rPr>
      <w:tab/>
    </w:r>
    <w:r>
      <w:rPr>
        <w:rStyle w:val="Numeropagina"/>
        <w:lang w:val="fr-FR"/>
      </w:rPr>
      <w:fldChar w:fldCharType="begin"/>
    </w:r>
    <w:r>
      <w:rPr>
        <w:rStyle w:val="Numeropagina"/>
        <w:lang w:val="fr-FR"/>
      </w:rPr>
      <w:instrText xml:space="preserve"> PAGE </w:instrText>
    </w:r>
    <w:r>
      <w:rPr>
        <w:rStyle w:val="Numeropagina"/>
        <w:lang w:val="fr-FR"/>
      </w:rPr>
      <w:fldChar w:fldCharType="separate"/>
    </w:r>
    <w:r w:rsidR="00242A0E">
      <w:rPr>
        <w:rStyle w:val="Numeropagina"/>
        <w:noProof/>
        <w:lang w:val="fr-FR"/>
      </w:rPr>
      <w:t>17</w:t>
    </w:r>
    <w:r>
      <w:rPr>
        <w:rStyle w:val="Numeropagina"/>
        <w:lang w:val="fr-F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0AA2222"/>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AC189B28"/>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90C4301E"/>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C7268F26"/>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CFA0A718"/>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FB382924"/>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268AD30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20501D42"/>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CDE43E0C"/>
    <w:lvl w:ilvl="0">
      <w:start w:val="1"/>
      <w:numFmt w:val="decimal"/>
      <w:pStyle w:val="Numeroelenco"/>
      <w:lvlText w:val="%1."/>
      <w:lvlJc w:val="left"/>
      <w:pPr>
        <w:tabs>
          <w:tab w:val="num" w:pos="360"/>
        </w:tabs>
        <w:ind w:left="360" w:hanging="360"/>
      </w:pPr>
    </w:lvl>
  </w:abstractNum>
  <w:abstractNum w:abstractNumId="9">
    <w:nsid w:val="FFFFFF89"/>
    <w:multiLevelType w:val="singleLevel"/>
    <w:tmpl w:val="03AEA0B8"/>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4E8750E"/>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7063F06"/>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5D7306C"/>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3"/>
  </w:num>
  <w:num w:numId="16">
    <w:abstractNumId w:val="13"/>
  </w:num>
  <w:num w:numId="17">
    <w:abstractNumId w:val="13"/>
  </w:num>
  <w:num w:numId="18">
    <w:abstractNumId w:val="13"/>
  </w:num>
  <w:num w:numId="19">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MM" w:val="0"/>
    <w:docVar w:name="NBEMMDOC" w:val="0"/>
    <w:docVar w:name="SignForeName" w:val="0"/>
  </w:docVars>
  <w:rsids>
    <w:rsidRoot w:val="005B5811"/>
    <w:rsid w:val="00003452"/>
    <w:rsid w:val="0000410B"/>
    <w:rsid w:val="000041F8"/>
    <w:rsid w:val="000042A8"/>
    <w:rsid w:val="00004308"/>
    <w:rsid w:val="00005BF0"/>
    <w:rsid w:val="000067F9"/>
    <w:rsid w:val="00007154"/>
    <w:rsid w:val="000103AE"/>
    <w:rsid w:val="00011D69"/>
    <w:rsid w:val="00012AD3"/>
    <w:rsid w:val="00015C2D"/>
    <w:rsid w:val="00015F00"/>
    <w:rsid w:val="00016811"/>
    <w:rsid w:val="00020FE1"/>
    <w:rsid w:val="000214E9"/>
    <w:rsid w:val="00022C1D"/>
    <w:rsid w:val="00024443"/>
    <w:rsid w:val="00025879"/>
    <w:rsid w:val="00027323"/>
    <w:rsid w:val="00031347"/>
    <w:rsid w:val="00033F5B"/>
    <w:rsid w:val="00034987"/>
    <w:rsid w:val="00035334"/>
    <w:rsid w:val="000368FC"/>
    <w:rsid w:val="000376FB"/>
    <w:rsid w:val="00043A74"/>
    <w:rsid w:val="0005515A"/>
    <w:rsid w:val="000602DF"/>
    <w:rsid w:val="00060790"/>
    <w:rsid w:val="00061B05"/>
    <w:rsid w:val="000632D5"/>
    <w:rsid w:val="000644EE"/>
    <w:rsid w:val="00064F20"/>
    <w:rsid w:val="000660CA"/>
    <w:rsid w:val="00066A71"/>
    <w:rsid w:val="00071AE1"/>
    <w:rsid w:val="00072F4E"/>
    <w:rsid w:val="000777CD"/>
    <w:rsid w:val="0008235B"/>
    <w:rsid w:val="000925AD"/>
    <w:rsid w:val="000A24EB"/>
    <w:rsid w:val="000A6B71"/>
    <w:rsid w:val="000B1ED8"/>
    <w:rsid w:val="000B6923"/>
    <w:rsid w:val="000C5F3C"/>
    <w:rsid w:val="000C6DCC"/>
    <w:rsid w:val="000D15AE"/>
    <w:rsid w:val="000D47AA"/>
    <w:rsid w:val="000D5453"/>
    <w:rsid w:val="000D721F"/>
    <w:rsid w:val="000E069B"/>
    <w:rsid w:val="000E0E82"/>
    <w:rsid w:val="000E1DC5"/>
    <w:rsid w:val="000E223F"/>
    <w:rsid w:val="000E5A6B"/>
    <w:rsid w:val="000E7D45"/>
    <w:rsid w:val="000E7FE6"/>
    <w:rsid w:val="000F00EF"/>
    <w:rsid w:val="000F7851"/>
    <w:rsid w:val="00103B2B"/>
    <w:rsid w:val="00104E23"/>
    <w:rsid w:val="00107183"/>
    <w:rsid w:val="00107E08"/>
    <w:rsid w:val="00111B0C"/>
    <w:rsid w:val="00116DC2"/>
    <w:rsid w:val="00120023"/>
    <w:rsid w:val="00120D6C"/>
    <w:rsid w:val="001213D2"/>
    <w:rsid w:val="001257EC"/>
    <w:rsid w:val="001316E6"/>
    <w:rsid w:val="00132695"/>
    <w:rsid w:val="00132FF5"/>
    <w:rsid w:val="00133D33"/>
    <w:rsid w:val="00134D64"/>
    <w:rsid w:val="00135A30"/>
    <w:rsid w:val="0013612C"/>
    <w:rsid w:val="00137FF6"/>
    <w:rsid w:val="00141650"/>
    <w:rsid w:val="00141CFC"/>
    <w:rsid w:val="001516A3"/>
    <w:rsid w:val="0016174F"/>
    <w:rsid w:val="001619D7"/>
    <w:rsid w:val="00162A12"/>
    <w:rsid w:val="00163CB4"/>
    <w:rsid w:val="00166530"/>
    <w:rsid w:val="0017124B"/>
    <w:rsid w:val="00171DF3"/>
    <w:rsid w:val="00174000"/>
    <w:rsid w:val="001832BD"/>
    <w:rsid w:val="00193072"/>
    <w:rsid w:val="001943B5"/>
    <w:rsid w:val="00195134"/>
    <w:rsid w:val="0019607A"/>
    <w:rsid w:val="001A1123"/>
    <w:rsid w:val="001A145B"/>
    <w:rsid w:val="001A3EF2"/>
    <w:rsid w:val="001A674C"/>
    <w:rsid w:val="001B02FF"/>
    <w:rsid w:val="001B0D5B"/>
    <w:rsid w:val="001B2D81"/>
    <w:rsid w:val="001B3B24"/>
    <w:rsid w:val="001B7851"/>
    <w:rsid w:val="001C0F98"/>
    <w:rsid w:val="001C1127"/>
    <w:rsid w:val="001C2A42"/>
    <w:rsid w:val="001C3531"/>
    <w:rsid w:val="001C3AE1"/>
    <w:rsid w:val="001C41FA"/>
    <w:rsid w:val="001D445C"/>
    <w:rsid w:val="001D63ED"/>
    <w:rsid w:val="001D7348"/>
    <w:rsid w:val="001E035B"/>
    <w:rsid w:val="001E0961"/>
    <w:rsid w:val="001E0B6D"/>
    <w:rsid w:val="001E3EAE"/>
    <w:rsid w:val="001E6F32"/>
    <w:rsid w:val="001F0E52"/>
    <w:rsid w:val="001F2145"/>
    <w:rsid w:val="001F41B9"/>
    <w:rsid w:val="001F4E43"/>
    <w:rsid w:val="001F58CB"/>
    <w:rsid w:val="001F6262"/>
    <w:rsid w:val="001F67B0"/>
    <w:rsid w:val="001F6F11"/>
    <w:rsid w:val="001F7B3D"/>
    <w:rsid w:val="0020109F"/>
    <w:rsid w:val="002021F7"/>
    <w:rsid w:val="0020363D"/>
    <w:rsid w:val="00204490"/>
    <w:rsid w:val="00205F9F"/>
    <w:rsid w:val="00210326"/>
    <w:rsid w:val="00210338"/>
    <w:rsid w:val="002115FC"/>
    <w:rsid w:val="00211D8D"/>
    <w:rsid w:val="00213A89"/>
    <w:rsid w:val="0021423C"/>
    <w:rsid w:val="00230D00"/>
    <w:rsid w:val="00231DF7"/>
    <w:rsid w:val="00231FD1"/>
    <w:rsid w:val="00232DF2"/>
    <w:rsid w:val="002339E0"/>
    <w:rsid w:val="00233CF8"/>
    <w:rsid w:val="0023536C"/>
    <w:rsid w:val="0023575D"/>
    <w:rsid w:val="00237148"/>
    <w:rsid w:val="002372A5"/>
    <w:rsid w:val="0024222D"/>
    <w:rsid w:val="00242A0E"/>
    <w:rsid w:val="00243432"/>
    <w:rsid w:val="00244B0E"/>
    <w:rsid w:val="00244F6C"/>
    <w:rsid w:val="00246ABB"/>
    <w:rsid w:val="002532C5"/>
    <w:rsid w:val="00260C03"/>
    <w:rsid w:val="002638BE"/>
    <w:rsid w:val="00264833"/>
    <w:rsid w:val="0026540E"/>
    <w:rsid w:val="00267331"/>
    <w:rsid w:val="00275123"/>
    <w:rsid w:val="00282240"/>
    <w:rsid w:val="00287192"/>
    <w:rsid w:val="00291379"/>
    <w:rsid w:val="002948AD"/>
    <w:rsid w:val="002A01CC"/>
    <w:rsid w:val="002A61B1"/>
    <w:rsid w:val="002A663C"/>
    <w:rsid w:val="002B444B"/>
    <w:rsid w:val="002B5705"/>
    <w:rsid w:val="002B5887"/>
    <w:rsid w:val="002C0E27"/>
    <w:rsid w:val="002C3040"/>
    <w:rsid w:val="002C340B"/>
    <w:rsid w:val="002C41E7"/>
    <w:rsid w:val="002D022D"/>
    <w:rsid w:val="002D23B6"/>
    <w:rsid w:val="002D24BB"/>
    <w:rsid w:val="002E02CB"/>
    <w:rsid w:val="002E0C87"/>
    <w:rsid w:val="002F2AF7"/>
    <w:rsid w:val="002F5D4B"/>
    <w:rsid w:val="002F7B84"/>
    <w:rsid w:val="002F7E1C"/>
    <w:rsid w:val="00301A75"/>
    <w:rsid w:val="00302F70"/>
    <w:rsid w:val="0030336F"/>
    <w:rsid w:val="0030375E"/>
    <w:rsid w:val="00307FE6"/>
    <w:rsid w:val="00310B62"/>
    <w:rsid w:val="00312A30"/>
    <w:rsid w:val="00315469"/>
    <w:rsid w:val="00315D6E"/>
    <w:rsid w:val="003175BA"/>
    <w:rsid w:val="00320F72"/>
    <w:rsid w:val="0032463E"/>
    <w:rsid w:val="003252F0"/>
    <w:rsid w:val="00326224"/>
    <w:rsid w:val="00337EE4"/>
    <w:rsid w:val="00340FFD"/>
    <w:rsid w:val="00347339"/>
    <w:rsid w:val="003506B1"/>
    <w:rsid w:val="00354F8C"/>
    <w:rsid w:val="00356AC7"/>
    <w:rsid w:val="00360179"/>
    <w:rsid w:val="003609FA"/>
    <w:rsid w:val="00363C74"/>
    <w:rsid w:val="003710C8"/>
    <w:rsid w:val="00373609"/>
    <w:rsid w:val="003750BE"/>
    <w:rsid w:val="003825EE"/>
    <w:rsid w:val="00384D70"/>
    <w:rsid w:val="00386AA5"/>
    <w:rsid w:val="00387B9D"/>
    <w:rsid w:val="003933B6"/>
    <w:rsid w:val="0039364F"/>
    <w:rsid w:val="00395F33"/>
    <w:rsid w:val="00396686"/>
    <w:rsid w:val="0039778E"/>
    <w:rsid w:val="003A1676"/>
    <w:rsid w:val="003B209F"/>
    <w:rsid w:val="003B257F"/>
    <w:rsid w:val="003B2814"/>
    <w:rsid w:val="003B2CA8"/>
    <w:rsid w:val="003B4941"/>
    <w:rsid w:val="003B74BB"/>
    <w:rsid w:val="003C2EBE"/>
    <w:rsid w:val="003C5714"/>
    <w:rsid w:val="003C6B9F"/>
    <w:rsid w:val="003C6E2A"/>
    <w:rsid w:val="003D0299"/>
    <w:rsid w:val="003D530A"/>
    <w:rsid w:val="003E58AC"/>
    <w:rsid w:val="003E6D80"/>
    <w:rsid w:val="003F05FA"/>
    <w:rsid w:val="003F244A"/>
    <w:rsid w:val="003F30B8"/>
    <w:rsid w:val="003F4C45"/>
    <w:rsid w:val="003F5F7B"/>
    <w:rsid w:val="003F7C2E"/>
    <w:rsid w:val="003F7D64"/>
    <w:rsid w:val="004109A4"/>
    <w:rsid w:val="00414300"/>
    <w:rsid w:val="004147EA"/>
    <w:rsid w:val="00417B5E"/>
    <w:rsid w:val="00425C67"/>
    <w:rsid w:val="004263D4"/>
    <w:rsid w:val="00427E7A"/>
    <w:rsid w:val="004323C9"/>
    <w:rsid w:val="00433B24"/>
    <w:rsid w:val="00434EC4"/>
    <w:rsid w:val="00434F5A"/>
    <w:rsid w:val="00436C49"/>
    <w:rsid w:val="00444367"/>
    <w:rsid w:val="00445366"/>
    <w:rsid w:val="00447F5B"/>
    <w:rsid w:val="0045067D"/>
    <w:rsid w:val="00456DF6"/>
    <w:rsid w:val="00461DB0"/>
    <w:rsid w:val="004633CC"/>
    <w:rsid w:val="00463926"/>
    <w:rsid w:val="00464C9A"/>
    <w:rsid w:val="00470312"/>
    <w:rsid w:val="00473E32"/>
    <w:rsid w:val="004741F5"/>
    <w:rsid w:val="00474239"/>
    <w:rsid w:val="00474F3D"/>
    <w:rsid w:val="004763E8"/>
    <w:rsid w:val="00477E3A"/>
    <w:rsid w:val="00482E13"/>
    <w:rsid w:val="00483983"/>
    <w:rsid w:val="00483E5F"/>
    <w:rsid w:val="00485FF9"/>
    <w:rsid w:val="004907F0"/>
    <w:rsid w:val="0049140B"/>
    <w:rsid w:val="004923A5"/>
    <w:rsid w:val="00496BFB"/>
    <w:rsid w:val="004A04BD"/>
    <w:rsid w:val="004A15C7"/>
    <w:rsid w:val="004A1F22"/>
    <w:rsid w:val="004A52B6"/>
    <w:rsid w:val="004A7DCD"/>
    <w:rsid w:val="004B013B"/>
    <w:rsid w:val="004B112B"/>
    <w:rsid w:val="004B652F"/>
    <w:rsid w:val="004B69C9"/>
    <w:rsid w:val="004B713F"/>
    <w:rsid w:val="004C00D4"/>
    <w:rsid w:val="004C01E4"/>
    <w:rsid w:val="004C086C"/>
    <w:rsid w:val="004C1762"/>
    <w:rsid w:val="004C1F56"/>
    <w:rsid w:val="004C27BC"/>
    <w:rsid w:val="004C4DFD"/>
    <w:rsid w:val="004C636D"/>
    <w:rsid w:val="004D06CC"/>
    <w:rsid w:val="004D10AF"/>
    <w:rsid w:val="004D15F3"/>
    <w:rsid w:val="004D2673"/>
    <w:rsid w:val="004D5311"/>
    <w:rsid w:val="004D589E"/>
    <w:rsid w:val="004D5DCC"/>
    <w:rsid w:val="004E1590"/>
    <w:rsid w:val="004E488B"/>
    <w:rsid w:val="004E64F9"/>
    <w:rsid w:val="004F10AF"/>
    <w:rsid w:val="004F11A4"/>
    <w:rsid w:val="004F17CF"/>
    <w:rsid w:val="004F2389"/>
    <w:rsid w:val="004F2979"/>
    <w:rsid w:val="004F304D"/>
    <w:rsid w:val="004F61BE"/>
    <w:rsid w:val="004F66B1"/>
    <w:rsid w:val="00500738"/>
    <w:rsid w:val="00500CAC"/>
    <w:rsid w:val="005029CE"/>
    <w:rsid w:val="00504B17"/>
    <w:rsid w:val="00511C07"/>
    <w:rsid w:val="005173A6"/>
    <w:rsid w:val="00520BAA"/>
    <w:rsid w:val="00520E23"/>
    <w:rsid w:val="00525208"/>
    <w:rsid w:val="005257A5"/>
    <w:rsid w:val="005264C0"/>
    <w:rsid w:val="00526A8A"/>
    <w:rsid w:val="00527E6F"/>
    <w:rsid w:val="00531DF2"/>
    <w:rsid w:val="005423AD"/>
    <w:rsid w:val="005442EE"/>
    <w:rsid w:val="00547353"/>
    <w:rsid w:val="005474E7"/>
    <w:rsid w:val="005512A3"/>
    <w:rsid w:val="00553E3F"/>
    <w:rsid w:val="00553FF0"/>
    <w:rsid w:val="005578CE"/>
    <w:rsid w:val="0056139F"/>
    <w:rsid w:val="00562781"/>
    <w:rsid w:val="00562900"/>
    <w:rsid w:val="00566E67"/>
    <w:rsid w:val="0057271C"/>
    <w:rsid w:val="00572845"/>
    <w:rsid w:val="00574C83"/>
    <w:rsid w:val="005779DD"/>
    <w:rsid w:val="00583B05"/>
    <w:rsid w:val="00585425"/>
    <w:rsid w:val="00585EF1"/>
    <w:rsid w:val="00591BDB"/>
    <w:rsid w:val="00592772"/>
    <w:rsid w:val="00592D99"/>
    <w:rsid w:val="0059574A"/>
    <w:rsid w:val="00596468"/>
    <w:rsid w:val="005A02CB"/>
    <w:rsid w:val="005A1B9B"/>
    <w:rsid w:val="005A32F8"/>
    <w:rsid w:val="005A6751"/>
    <w:rsid w:val="005B092E"/>
    <w:rsid w:val="005B152C"/>
    <w:rsid w:val="005B1EE0"/>
    <w:rsid w:val="005B24F9"/>
    <w:rsid w:val="005B2B24"/>
    <w:rsid w:val="005B3A78"/>
    <w:rsid w:val="005B4425"/>
    <w:rsid w:val="005B4B94"/>
    <w:rsid w:val="005B4DF9"/>
    <w:rsid w:val="005B5811"/>
    <w:rsid w:val="005C103F"/>
    <w:rsid w:val="005C3EE8"/>
    <w:rsid w:val="005C468F"/>
    <w:rsid w:val="005D34F9"/>
    <w:rsid w:val="005D4190"/>
    <w:rsid w:val="005D67A3"/>
    <w:rsid w:val="005E2988"/>
    <w:rsid w:val="005E3085"/>
    <w:rsid w:val="005E3331"/>
    <w:rsid w:val="005E3412"/>
    <w:rsid w:val="005E37C6"/>
    <w:rsid w:val="005E5E3F"/>
    <w:rsid w:val="005E7F18"/>
    <w:rsid w:val="005F0123"/>
    <w:rsid w:val="005F51E1"/>
    <w:rsid w:val="0060697A"/>
    <w:rsid w:val="00611C80"/>
    <w:rsid w:val="00617E0D"/>
    <w:rsid w:val="00620692"/>
    <w:rsid w:val="006242CA"/>
    <w:rsid w:val="00624836"/>
    <w:rsid w:val="00627507"/>
    <w:rsid w:val="00631A4A"/>
    <w:rsid w:val="00633717"/>
    <w:rsid w:val="006344E1"/>
    <w:rsid w:val="00635F2D"/>
    <w:rsid w:val="00642E13"/>
    <w:rsid w:val="00644CD9"/>
    <w:rsid w:val="00644DFA"/>
    <w:rsid w:val="00645554"/>
    <w:rsid w:val="00646454"/>
    <w:rsid w:val="0065298D"/>
    <w:rsid w:val="006545C4"/>
    <w:rsid w:val="006565DC"/>
    <w:rsid w:val="0066157F"/>
    <w:rsid w:val="00661971"/>
    <w:rsid w:val="00661CE8"/>
    <w:rsid w:val="006623D9"/>
    <w:rsid w:val="0066550C"/>
    <w:rsid w:val="00667B26"/>
    <w:rsid w:val="00667EFE"/>
    <w:rsid w:val="006716F2"/>
    <w:rsid w:val="00671A65"/>
    <w:rsid w:val="00671DC4"/>
    <w:rsid w:val="00682BF2"/>
    <w:rsid w:val="006851B3"/>
    <w:rsid w:val="006859CE"/>
    <w:rsid w:val="00690560"/>
    <w:rsid w:val="00691270"/>
    <w:rsid w:val="00691E65"/>
    <w:rsid w:val="00694A2E"/>
    <w:rsid w:val="00694BA8"/>
    <w:rsid w:val="0069530C"/>
    <w:rsid w:val="006A037C"/>
    <w:rsid w:val="006A0AC2"/>
    <w:rsid w:val="006A0E9D"/>
    <w:rsid w:val="006A23AD"/>
    <w:rsid w:val="006A36F4"/>
    <w:rsid w:val="006A406F"/>
    <w:rsid w:val="006A5D3A"/>
    <w:rsid w:val="006B7097"/>
    <w:rsid w:val="006C1BCB"/>
    <w:rsid w:val="006C23D4"/>
    <w:rsid w:val="006C2EDA"/>
    <w:rsid w:val="006C64BE"/>
    <w:rsid w:val="006C7BB0"/>
    <w:rsid w:val="006D1854"/>
    <w:rsid w:val="006D2968"/>
    <w:rsid w:val="006D3237"/>
    <w:rsid w:val="006E0216"/>
    <w:rsid w:val="006E2E37"/>
    <w:rsid w:val="006E3CF1"/>
    <w:rsid w:val="006E7E80"/>
    <w:rsid w:val="006F3B0D"/>
    <w:rsid w:val="006F45B0"/>
    <w:rsid w:val="006F48CA"/>
    <w:rsid w:val="006F64DD"/>
    <w:rsid w:val="007004E5"/>
    <w:rsid w:val="00700D8B"/>
    <w:rsid w:val="00705496"/>
    <w:rsid w:val="00711B9F"/>
    <w:rsid w:val="007137EE"/>
    <w:rsid w:val="00715127"/>
    <w:rsid w:val="00715E8E"/>
    <w:rsid w:val="00716867"/>
    <w:rsid w:val="00721204"/>
    <w:rsid w:val="00723580"/>
    <w:rsid w:val="00723755"/>
    <w:rsid w:val="0072583C"/>
    <w:rsid w:val="0073136C"/>
    <w:rsid w:val="00731F0F"/>
    <w:rsid w:val="00733250"/>
    <w:rsid w:val="00741404"/>
    <w:rsid w:val="007449E5"/>
    <w:rsid w:val="007460B1"/>
    <w:rsid w:val="00747196"/>
    <w:rsid w:val="00747FF0"/>
    <w:rsid w:val="00750EAD"/>
    <w:rsid w:val="007513B3"/>
    <w:rsid w:val="0075252A"/>
    <w:rsid w:val="00753573"/>
    <w:rsid w:val="00762097"/>
    <w:rsid w:val="00764D4E"/>
    <w:rsid w:val="00765554"/>
    <w:rsid w:val="00765A1F"/>
    <w:rsid w:val="00766A1F"/>
    <w:rsid w:val="00771EBF"/>
    <w:rsid w:val="007739C9"/>
    <w:rsid w:val="00775B6D"/>
    <w:rsid w:val="00776D68"/>
    <w:rsid w:val="00780063"/>
    <w:rsid w:val="00782FCD"/>
    <w:rsid w:val="007850EE"/>
    <w:rsid w:val="00785392"/>
    <w:rsid w:val="00785B95"/>
    <w:rsid w:val="00790E96"/>
    <w:rsid w:val="00793366"/>
    <w:rsid w:val="007952DA"/>
    <w:rsid w:val="00795A0C"/>
    <w:rsid w:val="007A0725"/>
    <w:rsid w:val="007A716F"/>
    <w:rsid w:val="007B270A"/>
    <w:rsid w:val="007B4B56"/>
    <w:rsid w:val="007B4CD4"/>
    <w:rsid w:val="007B6B4F"/>
    <w:rsid w:val="007B6DB1"/>
    <w:rsid w:val="007C0695"/>
    <w:rsid w:val="007C1C7F"/>
    <w:rsid w:val="007C419A"/>
    <w:rsid w:val="007C4CC8"/>
    <w:rsid w:val="007C5300"/>
    <w:rsid w:val="007C5426"/>
    <w:rsid w:val="007C5798"/>
    <w:rsid w:val="007C71D9"/>
    <w:rsid w:val="007D297F"/>
    <w:rsid w:val="007D29D2"/>
    <w:rsid w:val="007D4832"/>
    <w:rsid w:val="007D7A08"/>
    <w:rsid w:val="007E21B2"/>
    <w:rsid w:val="007E2C4E"/>
    <w:rsid w:val="007E3ED4"/>
    <w:rsid w:val="007E48C2"/>
    <w:rsid w:val="007E5FBE"/>
    <w:rsid w:val="007F1905"/>
    <w:rsid w:val="007F1B96"/>
    <w:rsid w:val="007F4F51"/>
    <w:rsid w:val="008012EF"/>
    <w:rsid w:val="00801300"/>
    <w:rsid w:val="008027B5"/>
    <w:rsid w:val="00802C64"/>
    <w:rsid w:val="00805E52"/>
    <w:rsid w:val="008061D0"/>
    <w:rsid w:val="00810B38"/>
    <w:rsid w:val="008129FF"/>
    <w:rsid w:val="00813648"/>
    <w:rsid w:val="008204C7"/>
    <w:rsid w:val="00820992"/>
    <w:rsid w:val="008234F8"/>
    <w:rsid w:val="00823602"/>
    <w:rsid w:val="008255F5"/>
    <w:rsid w:val="00826DA2"/>
    <w:rsid w:val="008279FA"/>
    <w:rsid w:val="0083014E"/>
    <w:rsid w:val="0083214A"/>
    <w:rsid w:val="00832312"/>
    <w:rsid w:val="008323C4"/>
    <w:rsid w:val="00834220"/>
    <w:rsid w:val="0084211D"/>
    <w:rsid w:val="00842DE9"/>
    <w:rsid w:val="008434A9"/>
    <w:rsid w:val="0084351A"/>
    <w:rsid w:val="00844C8F"/>
    <w:rsid w:val="00845723"/>
    <w:rsid w:val="00851ED5"/>
    <w:rsid w:val="00851EF9"/>
    <w:rsid w:val="00853915"/>
    <w:rsid w:val="00854409"/>
    <w:rsid w:val="00854D88"/>
    <w:rsid w:val="008577FD"/>
    <w:rsid w:val="00860B03"/>
    <w:rsid w:val="00862845"/>
    <w:rsid w:val="0086497A"/>
    <w:rsid w:val="008713A1"/>
    <w:rsid w:val="008726A3"/>
    <w:rsid w:val="008754AB"/>
    <w:rsid w:val="00875AB3"/>
    <w:rsid w:val="0087624D"/>
    <w:rsid w:val="0088060C"/>
    <w:rsid w:val="00883F5D"/>
    <w:rsid w:val="008851E6"/>
    <w:rsid w:val="00886E41"/>
    <w:rsid w:val="00887CC3"/>
    <w:rsid w:val="00893576"/>
    <w:rsid w:val="00893E73"/>
    <w:rsid w:val="008A25DB"/>
    <w:rsid w:val="008A38F5"/>
    <w:rsid w:val="008A681C"/>
    <w:rsid w:val="008B02DC"/>
    <w:rsid w:val="008B1800"/>
    <w:rsid w:val="008B51B4"/>
    <w:rsid w:val="008B57CE"/>
    <w:rsid w:val="008C26DE"/>
    <w:rsid w:val="008C6ED5"/>
    <w:rsid w:val="008D2225"/>
    <w:rsid w:val="008D331B"/>
    <w:rsid w:val="008D4752"/>
    <w:rsid w:val="008D7298"/>
    <w:rsid w:val="008E271C"/>
    <w:rsid w:val="008E418E"/>
    <w:rsid w:val="008E5BC6"/>
    <w:rsid w:val="008E6A25"/>
    <w:rsid w:val="008F5193"/>
    <w:rsid w:val="008F59A2"/>
    <w:rsid w:val="008F7DEC"/>
    <w:rsid w:val="009013A7"/>
    <w:rsid w:val="009017FB"/>
    <w:rsid w:val="009017FC"/>
    <w:rsid w:val="00903E4E"/>
    <w:rsid w:val="0090506B"/>
    <w:rsid w:val="009050C9"/>
    <w:rsid w:val="009066FC"/>
    <w:rsid w:val="009140A3"/>
    <w:rsid w:val="009144A2"/>
    <w:rsid w:val="0091510C"/>
    <w:rsid w:val="00915286"/>
    <w:rsid w:val="00916696"/>
    <w:rsid w:val="0092094B"/>
    <w:rsid w:val="009244A9"/>
    <w:rsid w:val="009259AC"/>
    <w:rsid w:val="00926AD5"/>
    <w:rsid w:val="00926F38"/>
    <w:rsid w:val="00934301"/>
    <w:rsid w:val="00936C2D"/>
    <w:rsid w:val="00936CD1"/>
    <w:rsid w:val="00941747"/>
    <w:rsid w:val="00941EFB"/>
    <w:rsid w:val="00947A13"/>
    <w:rsid w:val="00947AFB"/>
    <w:rsid w:val="00947C07"/>
    <w:rsid w:val="00951D7D"/>
    <w:rsid w:val="0095262F"/>
    <w:rsid w:val="009618D6"/>
    <w:rsid w:val="009630C7"/>
    <w:rsid w:val="009677B6"/>
    <w:rsid w:val="00970CDF"/>
    <w:rsid w:val="00972B55"/>
    <w:rsid w:val="009743B7"/>
    <w:rsid w:val="009776A2"/>
    <w:rsid w:val="0098228B"/>
    <w:rsid w:val="00982791"/>
    <w:rsid w:val="009828DA"/>
    <w:rsid w:val="00983EE2"/>
    <w:rsid w:val="0098489F"/>
    <w:rsid w:val="00985BAB"/>
    <w:rsid w:val="00985F4F"/>
    <w:rsid w:val="009A6020"/>
    <w:rsid w:val="009B1B5F"/>
    <w:rsid w:val="009B2CC0"/>
    <w:rsid w:val="009B6673"/>
    <w:rsid w:val="009C191B"/>
    <w:rsid w:val="009C1F1B"/>
    <w:rsid w:val="009C2BD6"/>
    <w:rsid w:val="009C3715"/>
    <w:rsid w:val="009C5881"/>
    <w:rsid w:val="009C76C0"/>
    <w:rsid w:val="009D16B0"/>
    <w:rsid w:val="009E0BF5"/>
    <w:rsid w:val="009E1F32"/>
    <w:rsid w:val="009E776C"/>
    <w:rsid w:val="009F4DBD"/>
    <w:rsid w:val="009F6DFE"/>
    <w:rsid w:val="00A00144"/>
    <w:rsid w:val="00A05D50"/>
    <w:rsid w:val="00A1207D"/>
    <w:rsid w:val="00A16653"/>
    <w:rsid w:val="00A1726E"/>
    <w:rsid w:val="00A204CF"/>
    <w:rsid w:val="00A232BA"/>
    <w:rsid w:val="00A23D49"/>
    <w:rsid w:val="00A25485"/>
    <w:rsid w:val="00A27004"/>
    <w:rsid w:val="00A30C29"/>
    <w:rsid w:val="00A316E3"/>
    <w:rsid w:val="00A33742"/>
    <w:rsid w:val="00A34DD6"/>
    <w:rsid w:val="00A36819"/>
    <w:rsid w:val="00A36989"/>
    <w:rsid w:val="00A40E5B"/>
    <w:rsid w:val="00A41565"/>
    <w:rsid w:val="00A42C18"/>
    <w:rsid w:val="00A43308"/>
    <w:rsid w:val="00A43628"/>
    <w:rsid w:val="00A461E2"/>
    <w:rsid w:val="00A52386"/>
    <w:rsid w:val="00A54192"/>
    <w:rsid w:val="00A573CB"/>
    <w:rsid w:val="00A6035E"/>
    <w:rsid w:val="00A6144C"/>
    <w:rsid w:val="00A66617"/>
    <w:rsid w:val="00A671F8"/>
    <w:rsid w:val="00A673A4"/>
    <w:rsid w:val="00A67531"/>
    <w:rsid w:val="00A724AE"/>
    <w:rsid w:val="00A731A1"/>
    <w:rsid w:val="00A73329"/>
    <w:rsid w:val="00A74BC1"/>
    <w:rsid w:val="00A75A1B"/>
    <w:rsid w:val="00A82359"/>
    <w:rsid w:val="00A828CE"/>
    <w:rsid w:val="00A84465"/>
    <w:rsid w:val="00A8486D"/>
    <w:rsid w:val="00A865D2"/>
    <w:rsid w:val="00A86FBB"/>
    <w:rsid w:val="00A877FB"/>
    <w:rsid w:val="00A94C20"/>
    <w:rsid w:val="00AA0116"/>
    <w:rsid w:val="00AA227F"/>
    <w:rsid w:val="00AA3BC7"/>
    <w:rsid w:val="00AA5786"/>
    <w:rsid w:val="00AA637C"/>
    <w:rsid w:val="00AA6FC3"/>
    <w:rsid w:val="00AA754A"/>
    <w:rsid w:val="00AA755B"/>
    <w:rsid w:val="00AB099E"/>
    <w:rsid w:val="00AB17AA"/>
    <w:rsid w:val="00AB4328"/>
    <w:rsid w:val="00AB71BE"/>
    <w:rsid w:val="00AB7684"/>
    <w:rsid w:val="00AC0824"/>
    <w:rsid w:val="00AC1DCE"/>
    <w:rsid w:val="00AC3F77"/>
    <w:rsid w:val="00AC4EBF"/>
    <w:rsid w:val="00AD3BFF"/>
    <w:rsid w:val="00AD412E"/>
    <w:rsid w:val="00AE0992"/>
    <w:rsid w:val="00AE0A2E"/>
    <w:rsid w:val="00AE354C"/>
    <w:rsid w:val="00AF07BD"/>
    <w:rsid w:val="00AF4B07"/>
    <w:rsid w:val="00AF5CC8"/>
    <w:rsid w:val="00AF6186"/>
    <w:rsid w:val="00AF7A3A"/>
    <w:rsid w:val="00B03D8F"/>
    <w:rsid w:val="00B04B35"/>
    <w:rsid w:val="00B11571"/>
    <w:rsid w:val="00B12287"/>
    <w:rsid w:val="00B152B9"/>
    <w:rsid w:val="00B160DB"/>
    <w:rsid w:val="00B20836"/>
    <w:rsid w:val="00B235BB"/>
    <w:rsid w:val="00B27A44"/>
    <w:rsid w:val="00B30B9D"/>
    <w:rsid w:val="00B30BBF"/>
    <w:rsid w:val="00B33C03"/>
    <w:rsid w:val="00B33D5E"/>
    <w:rsid w:val="00B44E56"/>
    <w:rsid w:val="00B45663"/>
    <w:rsid w:val="00B46543"/>
    <w:rsid w:val="00B47372"/>
    <w:rsid w:val="00B47D33"/>
    <w:rsid w:val="00B52BE0"/>
    <w:rsid w:val="00B538BE"/>
    <w:rsid w:val="00B54133"/>
    <w:rsid w:val="00B65CB3"/>
    <w:rsid w:val="00B66B74"/>
    <w:rsid w:val="00B701ED"/>
    <w:rsid w:val="00B7367B"/>
    <w:rsid w:val="00B73992"/>
    <w:rsid w:val="00B74ACD"/>
    <w:rsid w:val="00B757BA"/>
    <w:rsid w:val="00B8086C"/>
    <w:rsid w:val="00B84EED"/>
    <w:rsid w:val="00B85A04"/>
    <w:rsid w:val="00B861B4"/>
    <w:rsid w:val="00B86DFE"/>
    <w:rsid w:val="00B87115"/>
    <w:rsid w:val="00B90990"/>
    <w:rsid w:val="00B922FF"/>
    <w:rsid w:val="00B9281E"/>
    <w:rsid w:val="00B93925"/>
    <w:rsid w:val="00B93ECF"/>
    <w:rsid w:val="00B94BB8"/>
    <w:rsid w:val="00B95187"/>
    <w:rsid w:val="00B9776F"/>
    <w:rsid w:val="00BA2D55"/>
    <w:rsid w:val="00BA3798"/>
    <w:rsid w:val="00BA37E1"/>
    <w:rsid w:val="00BA71B1"/>
    <w:rsid w:val="00BB0637"/>
    <w:rsid w:val="00BB153E"/>
    <w:rsid w:val="00BB345F"/>
    <w:rsid w:val="00BB4B45"/>
    <w:rsid w:val="00BB68EA"/>
    <w:rsid w:val="00BB75D8"/>
    <w:rsid w:val="00BC1C27"/>
    <w:rsid w:val="00BC47F6"/>
    <w:rsid w:val="00BC4A8F"/>
    <w:rsid w:val="00BC6BBF"/>
    <w:rsid w:val="00BD0653"/>
    <w:rsid w:val="00BD1572"/>
    <w:rsid w:val="00BD462F"/>
    <w:rsid w:val="00BE14E3"/>
    <w:rsid w:val="00BE1A3E"/>
    <w:rsid w:val="00BE3774"/>
    <w:rsid w:val="00BE41E5"/>
    <w:rsid w:val="00BE60BA"/>
    <w:rsid w:val="00BF4109"/>
    <w:rsid w:val="00BF4CC3"/>
    <w:rsid w:val="00BF57B3"/>
    <w:rsid w:val="00C03552"/>
    <w:rsid w:val="00C054C7"/>
    <w:rsid w:val="00C057B5"/>
    <w:rsid w:val="00C06E15"/>
    <w:rsid w:val="00C1262B"/>
    <w:rsid w:val="00C12AB1"/>
    <w:rsid w:val="00C14B77"/>
    <w:rsid w:val="00C222AC"/>
    <w:rsid w:val="00C22687"/>
    <w:rsid w:val="00C24185"/>
    <w:rsid w:val="00C24512"/>
    <w:rsid w:val="00C26BB4"/>
    <w:rsid w:val="00C30779"/>
    <w:rsid w:val="00C32E4D"/>
    <w:rsid w:val="00C333A0"/>
    <w:rsid w:val="00C36408"/>
    <w:rsid w:val="00C36A81"/>
    <w:rsid w:val="00C41974"/>
    <w:rsid w:val="00C53F4A"/>
    <w:rsid w:val="00C54125"/>
    <w:rsid w:val="00C55B54"/>
    <w:rsid w:val="00C6098E"/>
    <w:rsid w:val="00C611D8"/>
    <w:rsid w:val="00C6152C"/>
    <w:rsid w:val="00C63990"/>
    <w:rsid w:val="00C64130"/>
    <w:rsid w:val="00C64EF6"/>
    <w:rsid w:val="00C65050"/>
    <w:rsid w:val="00C678E7"/>
    <w:rsid w:val="00C709AC"/>
    <w:rsid w:val="00C73934"/>
    <w:rsid w:val="00C74810"/>
    <w:rsid w:val="00C90D68"/>
    <w:rsid w:val="00C91601"/>
    <w:rsid w:val="00C939FE"/>
    <w:rsid w:val="00CA4BDA"/>
    <w:rsid w:val="00CB1F66"/>
    <w:rsid w:val="00CB2951"/>
    <w:rsid w:val="00CB71CB"/>
    <w:rsid w:val="00CB7454"/>
    <w:rsid w:val="00CC3FE5"/>
    <w:rsid w:val="00CC5AAA"/>
    <w:rsid w:val="00CC61B6"/>
    <w:rsid w:val="00CC71E6"/>
    <w:rsid w:val="00CD16F8"/>
    <w:rsid w:val="00CD282B"/>
    <w:rsid w:val="00CD4701"/>
    <w:rsid w:val="00CD4C35"/>
    <w:rsid w:val="00CD5BEE"/>
    <w:rsid w:val="00CD7369"/>
    <w:rsid w:val="00CE0B0E"/>
    <w:rsid w:val="00CE1662"/>
    <w:rsid w:val="00CE3831"/>
    <w:rsid w:val="00CF60C3"/>
    <w:rsid w:val="00D00ABB"/>
    <w:rsid w:val="00D00B31"/>
    <w:rsid w:val="00D02AD7"/>
    <w:rsid w:val="00D02EEC"/>
    <w:rsid w:val="00D03551"/>
    <w:rsid w:val="00D06A63"/>
    <w:rsid w:val="00D07D1B"/>
    <w:rsid w:val="00D07E0E"/>
    <w:rsid w:val="00D10CE1"/>
    <w:rsid w:val="00D111BF"/>
    <w:rsid w:val="00D11478"/>
    <w:rsid w:val="00D15ED0"/>
    <w:rsid w:val="00D168BF"/>
    <w:rsid w:val="00D21B3E"/>
    <w:rsid w:val="00D21FA5"/>
    <w:rsid w:val="00D21FED"/>
    <w:rsid w:val="00D24251"/>
    <w:rsid w:val="00D250D7"/>
    <w:rsid w:val="00D343E2"/>
    <w:rsid w:val="00D361A2"/>
    <w:rsid w:val="00D37C1F"/>
    <w:rsid w:val="00D42AFF"/>
    <w:rsid w:val="00D44A9D"/>
    <w:rsid w:val="00D44C2E"/>
    <w:rsid w:val="00D45414"/>
    <w:rsid w:val="00D461A2"/>
    <w:rsid w:val="00D47503"/>
    <w:rsid w:val="00D47F55"/>
    <w:rsid w:val="00D500C4"/>
    <w:rsid w:val="00D566BD"/>
    <w:rsid w:val="00D576CF"/>
    <w:rsid w:val="00D57A4D"/>
    <w:rsid w:val="00D60AA7"/>
    <w:rsid w:val="00D6435F"/>
    <w:rsid w:val="00D658EA"/>
    <w:rsid w:val="00D65AE9"/>
    <w:rsid w:val="00D7187A"/>
    <w:rsid w:val="00D72A26"/>
    <w:rsid w:val="00D73C59"/>
    <w:rsid w:val="00D74BB3"/>
    <w:rsid w:val="00D75E28"/>
    <w:rsid w:val="00D766D3"/>
    <w:rsid w:val="00D772C2"/>
    <w:rsid w:val="00D8008E"/>
    <w:rsid w:val="00D8245E"/>
    <w:rsid w:val="00D82C45"/>
    <w:rsid w:val="00D908A8"/>
    <w:rsid w:val="00D96E45"/>
    <w:rsid w:val="00D977B6"/>
    <w:rsid w:val="00DA2AC3"/>
    <w:rsid w:val="00DA3571"/>
    <w:rsid w:val="00DA4A31"/>
    <w:rsid w:val="00DA7B04"/>
    <w:rsid w:val="00DA7DD3"/>
    <w:rsid w:val="00DB36C2"/>
    <w:rsid w:val="00DB4D8E"/>
    <w:rsid w:val="00DC169B"/>
    <w:rsid w:val="00DC2AB9"/>
    <w:rsid w:val="00DC63F0"/>
    <w:rsid w:val="00DD0AEE"/>
    <w:rsid w:val="00DD0E03"/>
    <w:rsid w:val="00DD4AAB"/>
    <w:rsid w:val="00DD5146"/>
    <w:rsid w:val="00DD5598"/>
    <w:rsid w:val="00DD6EE5"/>
    <w:rsid w:val="00DE0CDA"/>
    <w:rsid w:val="00DE386C"/>
    <w:rsid w:val="00DE396F"/>
    <w:rsid w:val="00DE4D35"/>
    <w:rsid w:val="00DE572F"/>
    <w:rsid w:val="00DF098B"/>
    <w:rsid w:val="00DF11C4"/>
    <w:rsid w:val="00DF210C"/>
    <w:rsid w:val="00DF4B6A"/>
    <w:rsid w:val="00E01E65"/>
    <w:rsid w:val="00E02C09"/>
    <w:rsid w:val="00E0339F"/>
    <w:rsid w:val="00E03C14"/>
    <w:rsid w:val="00E04D59"/>
    <w:rsid w:val="00E07D53"/>
    <w:rsid w:val="00E07DA1"/>
    <w:rsid w:val="00E123CB"/>
    <w:rsid w:val="00E14FC6"/>
    <w:rsid w:val="00E16231"/>
    <w:rsid w:val="00E177B5"/>
    <w:rsid w:val="00E2062B"/>
    <w:rsid w:val="00E20E13"/>
    <w:rsid w:val="00E21DBC"/>
    <w:rsid w:val="00E2322E"/>
    <w:rsid w:val="00E25165"/>
    <w:rsid w:val="00E275D7"/>
    <w:rsid w:val="00E27DBE"/>
    <w:rsid w:val="00E31471"/>
    <w:rsid w:val="00E32AB1"/>
    <w:rsid w:val="00E348E6"/>
    <w:rsid w:val="00E36C71"/>
    <w:rsid w:val="00E37207"/>
    <w:rsid w:val="00E373F5"/>
    <w:rsid w:val="00E37C32"/>
    <w:rsid w:val="00E37DDC"/>
    <w:rsid w:val="00E401F8"/>
    <w:rsid w:val="00E40404"/>
    <w:rsid w:val="00E40595"/>
    <w:rsid w:val="00E4529A"/>
    <w:rsid w:val="00E459C6"/>
    <w:rsid w:val="00E47589"/>
    <w:rsid w:val="00E61AE4"/>
    <w:rsid w:val="00E64915"/>
    <w:rsid w:val="00E661D4"/>
    <w:rsid w:val="00E70091"/>
    <w:rsid w:val="00E720F5"/>
    <w:rsid w:val="00E76D47"/>
    <w:rsid w:val="00E77CB3"/>
    <w:rsid w:val="00E82501"/>
    <w:rsid w:val="00E849F7"/>
    <w:rsid w:val="00E90302"/>
    <w:rsid w:val="00E92273"/>
    <w:rsid w:val="00E96DED"/>
    <w:rsid w:val="00E97396"/>
    <w:rsid w:val="00EA185E"/>
    <w:rsid w:val="00EA26E7"/>
    <w:rsid w:val="00EA3951"/>
    <w:rsid w:val="00EA592A"/>
    <w:rsid w:val="00EB14E4"/>
    <w:rsid w:val="00EB32A5"/>
    <w:rsid w:val="00EB34ED"/>
    <w:rsid w:val="00EB3584"/>
    <w:rsid w:val="00EB7BE0"/>
    <w:rsid w:val="00EB7E63"/>
    <w:rsid w:val="00EC315E"/>
    <w:rsid w:val="00EC6609"/>
    <w:rsid w:val="00ED077C"/>
    <w:rsid w:val="00ED1190"/>
    <w:rsid w:val="00ED6544"/>
    <w:rsid w:val="00ED7D15"/>
    <w:rsid w:val="00EE0277"/>
    <w:rsid w:val="00EE3E00"/>
    <w:rsid w:val="00EE5DD2"/>
    <w:rsid w:val="00EE6CC8"/>
    <w:rsid w:val="00EE76FA"/>
    <w:rsid w:val="00EE7FD6"/>
    <w:rsid w:val="00EF0A2E"/>
    <w:rsid w:val="00EF63C2"/>
    <w:rsid w:val="00F00A79"/>
    <w:rsid w:val="00F00E86"/>
    <w:rsid w:val="00F07C1E"/>
    <w:rsid w:val="00F105DB"/>
    <w:rsid w:val="00F132BC"/>
    <w:rsid w:val="00F13D80"/>
    <w:rsid w:val="00F145BE"/>
    <w:rsid w:val="00F16AAA"/>
    <w:rsid w:val="00F17AE5"/>
    <w:rsid w:val="00F206B9"/>
    <w:rsid w:val="00F21161"/>
    <w:rsid w:val="00F218EF"/>
    <w:rsid w:val="00F21BC7"/>
    <w:rsid w:val="00F231AA"/>
    <w:rsid w:val="00F2484C"/>
    <w:rsid w:val="00F266A2"/>
    <w:rsid w:val="00F32269"/>
    <w:rsid w:val="00F34A28"/>
    <w:rsid w:val="00F44F0B"/>
    <w:rsid w:val="00F4605F"/>
    <w:rsid w:val="00F56A6F"/>
    <w:rsid w:val="00F5709C"/>
    <w:rsid w:val="00F6139E"/>
    <w:rsid w:val="00F62ABF"/>
    <w:rsid w:val="00F6357B"/>
    <w:rsid w:val="00F64EF1"/>
    <w:rsid w:val="00F67612"/>
    <w:rsid w:val="00F7238A"/>
    <w:rsid w:val="00F73C13"/>
    <w:rsid w:val="00F83FBF"/>
    <w:rsid w:val="00F8715C"/>
    <w:rsid w:val="00F8765F"/>
    <w:rsid w:val="00F8794E"/>
    <w:rsid w:val="00F90767"/>
    <w:rsid w:val="00F91F74"/>
    <w:rsid w:val="00FA35EF"/>
    <w:rsid w:val="00FA3C96"/>
    <w:rsid w:val="00FA685B"/>
    <w:rsid w:val="00FB0C01"/>
    <w:rsid w:val="00FB2B45"/>
    <w:rsid w:val="00FB6216"/>
    <w:rsid w:val="00FB6CBE"/>
    <w:rsid w:val="00FC18F2"/>
    <w:rsid w:val="00FC39E5"/>
    <w:rsid w:val="00FC3A78"/>
    <w:rsid w:val="00FC5DE1"/>
    <w:rsid w:val="00FD0BAA"/>
    <w:rsid w:val="00FD1005"/>
    <w:rsid w:val="00FD366B"/>
    <w:rsid w:val="00FD4672"/>
    <w:rsid w:val="00FD662B"/>
    <w:rsid w:val="00FD6C75"/>
    <w:rsid w:val="00FE0668"/>
    <w:rsid w:val="00FE234F"/>
    <w:rsid w:val="00FE30F6"/>
    <w:rsid w:val="00FE6D90"/>
    <w:rsid w:val="00FE71B3"/>
    <w:rsid w:val="00FF245F"/>
    <w:rsid w:val="00FF2777"/>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57"/>
    <w:lsdException w:name="footer" w:uiPriority="57"/>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uiPriority="1"/>
    <w:lsdException w:name="Subtitle" w:unhideWhenUsed="0" w:qFormat="1"/>
    <w:lsdException w:name="Salutation" w:unhideWhenUsed="0"/>
    <w:lsdException w:name="Date" w:unhideWhenUsed="0"/>
    <w:lsdException w:name="Body Text First Indent"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e">
    <w:name w:val="Normal"/>
    <w:semiHidden/>
    <w:rsid w:val="00E03C14"/>
    <w:pPr>
      <w:jc w:val="both"/>
    </w:pPr>
    <w:rPr>
      <w:rFonts w:eastAsiaTheme="minorEastAsia"/>
      <w:sz w:val="24"/>
      <w:lang w:val="en-GB"/>
    </w:rPr>
  </w:style>
  <w:style w:type="paragraph" w:styleId="Titolo1">
    <w:name w:val="heading 1"/>
    <w:basedOn w:val="Normale"/>
    <w:next w:val="Normale"/>
    <w:link w:val="Titolo1Carattere"/>
    <w:uiPriority w:val="99"/>
    <w:semiHidden/>
    <w:rsid w:val="00E03C14"/>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E03C14"/>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E03C14"/>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E03C14"/>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E03C14"/>
    <w:pPr>
      <w:spacing w:before="200"/>
      <w:outlineLvl w:val="4"/>
    </w:pPr>
    <w:rPr>
      <w:rFonts w:asciiTheme="majorHAnsi" w:eastAsiaTheme="majorEastAsia" w:hAnsiTheme="majorHAnsi" w:cstheme="majorBidi"/>
      <w:b/>
      <w:bCs/>
      <w:color w:val="808080"/>
      <w:sz w:val="22"/>
      <w:lang w:val="en-US"/>
    </w:rPr>
  </w:style>
  <w:style w:type="paragraph" w:styleId="Titolo6">
    <w:name w:val="heading 6"/>
    <w:basedOn w:val="Normale"/>
    <w:next w:val="Normale"/>
    <w:link w:val="Titolo6Carattere"/>
    <w:uiPriority w:val="99"/>
    <w:semiHidden/>
    <w:rsid w:val="00E03C14"/>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E03C14"/>
    <w:pPr>
      <w:outlineLvl w:val="6"/>
    </w:pPr>
    <w:rPr>
      <w:rFonts w:asciiTheme="majorHAnsi" w:eastAsiaTheme="majorEastAsia" w:hAnsiTheme="majorHAnsi" w:cstheme="majorBidi"/>
      <w:i/>
      <w:iCs/>
      <w:sz w:val="22"/>
      <w:lang w:val="en-US" w:bidi="en-US"/>
    </w:rPr>
  </w:style>
  <w:style w:type="paragraph" w:styleId="Titolo8">
    <w:name w:val="heading 8"/>
    <w:basedOn w:val="Normale"/>
    <w:next w:val="Normale"/>
    <w:link w:val="Titolo8Carattere"/>
    <w:uiPriority w:val="99"/>
    <w:semiHidden/>
    <w:qFormat/>
    <w:rsid w:val="00E03C14"/>
    <w:pPr>
      <w:outlineLvl w:val="7"/>
    </w:pPr>
    <w:rPr>
      <w:rFonts w:asciiTheme="majorHAnsi" w:eastAsiaTheme="majorEastAsia" w:hAnsiTheme="majorHAnsi" w:cstheme="majorBidi"/>
      <w:sz w:val="20"/>
      <w:szCs w:val="20"/>
      <w:lang w:val="en-US" w:bidi="en-US"/>
    </w:rPr>
  </w:style>
  <w:style w:type="paragraph" w:styleId="Titolo9">
    <w:name w:val="heading 9"/>
    <w:basedOn w:val="Normale"/>
    <w:next w:val="Normale"/>
    <w:link w:val="Titolo9Carattere"/>
    <w:uiPriority w:val="99"/>
    <w:semiHidden/>
    <w:qFormat/>
    <w:rsid w:val="00E03C14"/>
    <w:pPr>
      <w:outlineLvl w:val="8"/>
    </w:pPr>
    <w:rPr>
      <w:rFonts w:asciiTheme="majorHAnsi" w:eastAsiaTheme="majorEastAsia" w:hAnsiTheme="majorHAnsi" w:cstheme="majorBidi"/>
      <w:i/>
      <w:iCs/>
      <w:spacing w:val="5"/>
      <w:sz w:val="20"/>
      <w:szCs w:val="20"/>
      <w:lang w:val="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E03C1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03C14"/>
    <w:rPr>
      <w:rFonts w:ascii="Tahoma" w:eastAsiaTheme="minorEastAsia" w:hAnsi="Tahoma" w:cs="Tahoma"/>
      <w:sz w:val="16"/>
      <w:szCs w:val="16"/>
      <w:lang w:val="en-GB"/>
    </w:rPr>
  </w:style>
  <w:style w:type="character" w:styleId="Titolodellibro">
    <w:name w:val="Book Title"/>
    <w:uiPriority w:val="99"/>
    <w:semiHidden/>
    <w:qFormat/>
    <w:rsid w:val="00E03C14"/>
    <w:rPr>
      <w:i/>
      <w:iCs/>
      <w:smallCaps/>
      <w:spacing w:val="5"/>
    </w:rPr>
  </w:style>
  <w:style w:type="paragraph" w:customStyle="1" w:styleId="ECHRHeader">
    <w:name w:val="ECHR_Header"/>
    <w:aliases w:val="Ju_Header"/>
    <w:basedOn w:val="Intestazione"/>
    <w:uiPriority w:val="4"/>
    <w:qFormat/>
    <w:rsid w:val="00E03C14"/>
    <w:pPr>
      <w:tabs>
        <w:tab w:val="clear" w:pos="4536"/>
        <w:tab w:val="clear" w:pos="9072"/>
        <w:tab w:val="center" w:pos="3686"/>
        <w:tab w:val="right" w:pos="7371"/>
      </w:tabs>
      <w:jc w:val="left"/>
    </w:pPr>
    <w:rPr>
      <w:sz w:val="18"/>
    </w:rPr>
  </w:style>
  <w:style w:type="paragraph" w:customStyle="1" w:styleId="ECHRFooter">
    <w:name w:val="ECHR_Footer"/>
    <w:aliases w:val="Footer_ECHR"/>
    <w:basedOn w:val="Pidipagina"/>
    <w:uiPriority w:val="57"/>
    <w:semiHidden/>
    <w:rsid w:val="00E03C14"/>
    <w:pPr>
      <w:jc w:val="left"/>
    </w:pPr>
    <w:rPr>
      <w:sz w:val="8"/>
    </w:rPr>
  </w:style>
  <w:style w:type="character" w:styleId="Enfasigrassetto">
    <w:name w:val="Strong"/>
    <w:uiPriority w:val="99"/>
    <w:semiHidden/>
    <w:qFormat/>
    <w:rsid w:val="00E03C14"/>
    <w:rPr>
      <w:b/>
      <w:bCs/>
    </w:rPr>
  </w:style>
  <w:style w:type="paragraph" w:styleId="Nessunaspaziatura">
    <w:name w:val="No Spacing"/>
    <w:basedOn w:val="Normale"/>
    <w:link w:val="NessunaspaziaturaCarattere"/>
    <w:semiHidden/>
    <w:qFormat/>
    <w:rsid w:val="00E03C14"/>
    <w:rPr>
      <w:sz w:val="22"/>
      <w:lang w:val="en-US"/>
    </w:rPr>
  </w:style>
  <w:style w:type="character" w:customStyle="1" w:styleId="NessunaspaziaturaCarattere">
    <w:name w:val="Nessuna spaziatura Carattere"/>
    <w:basedOn w:val="Carpredefinitoparagrafo"/>
    <w:link w:val="Nessunaspaziatura"/>
    <w:semiHidden/>
    <w:rsid w:val="00E03C14"/>
    <w:rPr>
      <w:rFonts w:eastAsiaTheme="minorEastAsia"/>
    </w:rPr>
  </w:style>
  <w:style w:type="paragraph" w:customStyle="1" w:styleId="ECHRFooterLine">
    <w:name w:val="ECHR_Footer_Line"/>
    <w:aliases w:val="Footer_Line"/>
    <w:basedOn w:val="Normale"/>
    <w:next w:val="ECHRFooter"/>
    <w:uiPriority w:val="57"/>
    <w:semiHidden/>
    <w:rsid w:val="00E03C14"/>
    <w:pPr>
      <w:pBdr>
        <w:top w:val="single" w:sz="6" w:space="1" w:color="5F5F5F"/>
      </w:pBdr>
      <w:tabs>
        <w:tab w:val="center" w:pos="4536"/>
        <w:tab w:val="right" w:pos="9696"/>
      </w:tabs>
      <w:ind w:left="-680" w:right="-680"/>
      <w:jc w:val="left"/>
    </w:pPr>
    <w:rPr>
      <w:color w:val="5F5F5F"/>
    </w:rPr>
  </w:style>
  <w:style w:type="paragraph" w:customStyle="1" w:styleId="DecHTitle">
    <w:name w:val="Dec_H_Title"/>
    <w:basedOn w:val="ECHRTitleCentre1"/>
    <w:uiPriority w:val="7"/>
    <w:semiHidden/>
    <w:qFormat/>
    <w:rsid w:val="00E03C14"/>
  </w:style>
  <w:style w:type="paragraph" w:customStyle="1" w:styleId="DecList">
    <w:name w:val="Dec_List"/>
    <w:basedOn w:val="Normale"/>
    <w:uiPriority w:val="9"/>
    <w:semiHidden/>
    <w:qFormat/>
    <w:rsid w:val="00E03C14"/>
    <w:pPr>
      <w:spacing w:before="240"/>
      <w:ind w:left="284"/>
    </w:pPr>
  </w:style>
  <w:style w:type="paragraph" w:customStyle="1" w:styleId="DummyStyle">
    <w:name w:val="Dummy_Style"/>
    <w:basedOn w:val="Normale"/>
    <w:semiHidden/>
    <w:qFormat/>
    <w:rsid w:val="00E03C14"/>
    <w:rPr>
      <w:color w:val="00B050"/>
    </w:rPr>
  </w:style>
  <w:style w:type="paragraph" w:customStyle="1" w:styleId="ECHRTitleCentre3">
    <w:name w:val="ECHR_Title_Centre_3"/>
    <w:aliases w:val="Ju_H_Article"/>
    <w:basedOn w:val="Normale"/>
    <w:next w:val="ECHRParaQuote"/>
    <w:uiPriority w:val="27"/>
    <w:qFormat/>
    <w:rsid w:val="00E03C14"/>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qFormat/>
    <w:rsid w:val="00E03C14"/>
    <w:pPr>
      <w:keepNext/>
      <w:keepLines/>
      <w:spacing w:after="240"/>
      <w:jc w:val="center"/>
      <w:outlineLvl w:val="0"/>
    </w:pPr>
    <w:rPr>
      <w:rFonts w:asciiTheme="majorHAnsi" w:hAnsiTheme="majorHAnsi"/>
      <w:sz w:val="28"/>
    </w:rPr>
  </w:style>
  <w:style w:type="paragraph" w:customStyle="1" w:styleId="JuAppQuestion">
    <w:name w:val="Ju_App_Question"/>
    <w:basedOn w:val="Normale"/>
    <w:uiPriority w:val="5"/>
    <w:semiHidden/>
    <w:qFormat/>
    <w:rsid w:val="00E03C14"/>
    <w:pPr>
      <w:numPr>
        <w:numId w:val="19"/>
      </w:numPr>
      <w:jc w:val="left"/>
    </w:pPr>
    <w:rPr>
      <w:b/>
    </w:rPr>
  </w:style>
  <w:style w:type="paragraph" w:customStyle="1" w:styleId="JuCourt">
    <w:name w:val="Ju_Court"/>
    <w:basedOn w:val="Normale"/>
    <w:next w:val="Normale"/>
    <w:uiPriority w:val="16"/>
    <w:qFormat/>
    <w:rsid w:val="00E03C14"/>
    <w:pPr>
      <w:tabs>
        <w:tab w:val="left" w:pos="907"/>
        <w:tab w:val="left" w:pos="1701"/>
        <w:tab w:val="right" w:pos="7371"/>
      </w:tabs>
      <w:spacing w:before="240"/>
      <w:ind w:left="397" w:hanging="397"/>
      <w:jc w:val="left"/>
    </w:pPr>
    <w:rPr>
      <w:lang w:bidi="en-US"/>
    </w:rPr>
  </w:style>
  <w:style w:type="paragraph" w:customStyle="1" w:styleId="JuHeaderLandscape">
    <w:name w:val="Ju_Header_Landscape"/>
    <w:basedOn w:val="ECHRHeader"/>
    <w:uiPriority w:val="4"/>
    <w:qFormat/>
    <w:rsid w:val="00E03C14"/>
    <w:pPr>
      <w:tabs>
        <w:tab w:val="clear" w:pos="3686"/>
        <w:tab w:val="clear" w:pos="7371"/>
        <w:tab w:val="center" w:pos="6146"/>
        <w:tab w:val="right" w:pos="12293"/>
      </w:tabs>
    </w:pPr>
  </w:style>
  <w:style w:type="paragraph" w:customStyle="1" w:styleId="ECHRTitleCentre2">
    <w:name w:val="ECHR_Title_Centre_2"/>
    <w:aliases w:val="Dec_H_Case"/>
    <w:basedOn w:val="Normale"/>
    <w:next w:val="ECHRPara"/>
    <w:uiPriority w:val="8"/>
    <w:qFormat/>
    <w:rsid w:val="00E03C14"/>
    <w:pPr>
      <w:spacing w:after="240"/>
      <w:jc w:val="center"/>
      <w:outlineLvl w:val="0"/>
    </w:pPr>
    <w:rPr>
      <w:rFonts w:asciiTheme="majorHAnsi" w:hAnsiTheme="majorHAnsi"/>
    </w:rPr>
  </w:style>
  <w:style w:type="paragraph" w:customStyle="1" w:styleId="JuInitialled">
    <w:name w:val="Ju_Initialled"/>
    <w:basedOn w:val="Normale"/>
    <w:uiPriority w:val="31"/>
    <w:qFormat/>
    <w:rsid w:val="00E03C14"/>
    <w:pPr>
      <w:tabs>
        <w:tab w:val="center" w:pos="6407"/>
      </w:tabs>
      <w:spacing w:before="720"/>
      <w:jc w:val="right"/>
    </w:pPr>
  </w:style>
  <w:style w:type="paragraph" w:styleId="Titolo">
    <w:name w:val="Title"/>
    <w:basedOn w:val="Normale"/>
    <w:next w:val="Normale"/>
    <w:link w:val="TitoloCarattere"/>
    <w:uiPriority w:val="99"/>
    <w:semiHidden/>
    <w:qFormat/>
    <w:rsid w:val="00E03C14"/>
    <w:pPr>
      <w:pBdr>
        <w:bottom w:val="single" w:sz="4" w:space="1" w:color="auto"/>
      </w:pBdr>
      <w:contextualSpacing/>
    </w:pPr>
    <w:rPr>
      <w:rFonts w:asciiTheme="majorHAnsi" w:eastAsiaTheme="majorEastAsia" w:hAnsiTheme="majorHAnsi" w:cstheme="majorBidi"/>
      <w:spacing w:val="5"/>
      <w:sz w:val="52"/>
      <w:szCs w:val="52"/>
      <w:lang w:val="en-US" w:bidi="en-US"/>
    </w:rPr>
  </w:style>
  <w:style w:type="character" w:customStyle="1" w:styleId="TitoloCarattere">
    <w:name w:val="Titolo Carattere"/>
    <w:basedOn w:val="Carpredefinitoparagrafo"/>
    <w:link w:val="Titolo"/>
    <w:uiPriority w:val="99"/>
    <w:semiHidden/>
    <w:rsid w:val="00E03C14"/>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Titolo3"/>
    <w:next w:val="ECHRPara"/>
    <w:uiPriority w:val="21"/>
    <w:qFormat/>
    <w:rsid w:val="00E03C14"/>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Titolo4"/>
    <w:next w:val="ECHRPara"/>
    <w:uiPriority w:val="22"/>
    <w:qFormat/>
    <w:rsid w:val="00E03C14"/>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Titolo5"/>
    <w:next w:val="ECHRPara"/>
    <w:uiPriority w:val="23"/>
    <w:qFormat/>
    <w:rsid w:val="00E03C14"/>
    <w:pPr>
      <w:keepNext/>
      <w:keepLines/>
      <w:tabs>
        <w:tab w:val="left" w:pos="1191"/>
      </w:tabs>
      <w:spacing w:before="240" w:after="120"/>
      <w:ind w:left="1190" w:hanging="357"/>
    </w:pPr>
    <w:rPr>
      <w:b w:val="0"/>
      <w:i/>
      <w:color w:val="auto"/>
      <w:sz w:val="20"/>
      <w:lang w:val="en-GB"/>
    </w:rPr>
  </w:style>
  <w:style w:type="paragraph" w:customStyle="1" w:styleId="ECHRHeading6">
    <w:name w:val="ECHR_Heading_6"/>
    <w:aliases w:val="Ju_H_alpha"/>
    <w:basedOn w:val="Titolo6"/>
    <w:next w:val="ECHRPara"/>
    <w:uiPriority w:val="24"/>
    <w:qFormat/>
    <w:rsid w:val="00E03C14"/>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Titolo7"/>
    <w:next w:val="ECHRPara"/>
    <w:uiPriority w:val="25"/>
    <w:qFormat/>
    <w:rsid w:val="00E03C14"/>
    <w:pPr>
      <w:keepNext/>
      <w:keepLines/>
      <w:spacing w:before="240" w:after="120"/>
      <w:ind w:left="1236"/>
    </w:pPr>
    <w:rPr>
      <w:sz w:val="20"/>
      <w:lang w:val="en-GB"/>
    </w:rPr>
  </w:style>
  <w:style w:type="paragraph" w:customStyle="1" w:styleId="JuQuotSub">
    <w:name w:val="Ju_Quot_Sub"/>
    <w:basedOn w:val="ECHRParaQuote"/>
    <w:uiPriority w:val="15"/>
    <w:qFormat/>
    <w:rsid w:val="00E03C14"/>
    <w:pPr>
      <w:ind w:left="567"/>
    </w:pPr>
  </w:style>
  <w:style w:type="paragraph" w:customStyle="1" w:styleId="JuListi">
    <w:name w:val="Ju_List_i"/>
    <w:basedOn w:val="Normale"/>
    <w:next w:val="JuLista"/>
    <w:uiPriority w:val="28"/>
    <w:qFormat/>
    <w:rsid w:val="00E03C14"/>
    <w:pPr>
      <w:ind w:left="794"/>
    </w:pPr>
  </w:style>
  <w:style w:type="character" w:customStyle="1" w:styleId="JUNAMES">
    <w:name w:val="JU_NAMES"/>
    <w:uiPriority w:val="17"/>
    <w:qFormat/>
    <w:rsid w:val="00E03C14"/>
    <w:rPr>
      <w:caps w:val="0"/>
      <w:smallCaps/>
    </w:rPr>
  </w:style>
  <w:style w:type="paragraph" w:styleId="Intestazione">
    <w:name w:val="header"/>
    <w:basedOn w:val="Normale"/>
    <w:link w:val="IntestazioneCarattere"/>
    <w:uiPriority w:val="57"/>
    <w:semiHidden/>
    <w:rsid w:val="00E03C14"/>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E03C14"/>
    <w:rPr>
      <w:sz w:val="24"/>
      <w:lang w:val="en-GB"/>
    </w:rPr>
  </w:style>
  <w:style w:type="character" w:customStyle="1" w:styleId="Titolo1Carattere">
    <w:name w:val="Titolo 1 Carattere"/>
    <w:basedOn w:val="Carpredefinitoparagrafo"/>
    <w:link w:val="Titolo1"/>
    <w:uiPriority w:val="99"/>
    <w:semiHidden/>
    <w:rsid w:val="00E03C14"/>
    <w:rPr>
      <w:rFonts w:asciiTheme="majorHAnsi" w:eastAsiaTheme="majorEastAsia" w:hAnsiTheme="majorHAnsi" w:cstheme="majorBidi"/>
      <w:b/>
      <w:bCs/>
      <w:color w:val="333333"/>
      <w:sz w:val="28"/>
      <w:szCs w:val="28"/>
      <w:lang w:val="en-GB"/>
    </w:rPr>
  </w:style>
  <w:style w:type="paragraph" w:customStyle="1" w:styleId="ECHRHeading1">
    <w:name w:val="ECHR_Heading_1"/>
    <w:aliases w:val="Ju_H_I_Roman"/>
    <w:basedOn w:val="Titolo1"/>
    <w:next w:val="ECHRPara"/>
    <w:uiPriority w:val="19"/>
    <w:qFormat/>
    <w:rsid w:val="00E03C14"/>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Titolo2"/>
    <w:next w:val="ECHRPara"/>
    <w:uiPriority w:val="20"/>
    <w:qFormat/>
    <w:rsid w:val="00E03C14"/>
    <w:pPr>
      <w:keepNext/>
      <w:keepLines/>
      <w:tabs>
        <w:tab w:val="left" w:pos="584"/>
      </w:tabs>
      <w:spacing w:before="360" w:after="240"/>
      <w:ind w:left="584" w:hanging="352"/>
    </w:pPr>
    <w:rPr>
      <w:color w:val="auto"/>
      <w:sz w:val="24"/>
    </w:rPr>
  </w:style>
  <w:style w:type="character" w:customStyle="1" w:styleId="Titolo2Carattere">
    <w:name w:val="Titolo 2 Carattere"/>
    <w:basedOn w:val="Carpredefinitoparagrafo"/>
    <w:link w:val="Titolo2"/>
    <w:uiPriority w:val="99"/>
    <w:semiHidden/>
    <w:rsid w:val="00E03C14"/>
    <w:rPr>
      <w:rFonts w:asciiTheme="majorHAnsi" w:eastAsiaTheme="majorEastAsia" w:hAnsiTheme="majorHAnsi" w:cstheme="majorBidi"/>
      <w:b/>
      <w:bCs/>
      <w:color w:val="4D4D4D"/>
      <w:sz w:val="26"/>
      <w:szCs w:val="26"/>
      <w:lang w:val="en-GB"/>
    </w:rPr>
  </w:style>
  <w:style w:type="paragraph" w:customStyle="1" w:styleId="JuParaSub">
    <w:name w:val="Ju_Para_Sub"/>
    <w:basedOn w:val="ECHRPara"/>
    <w:uiPriority w:val="13"/>
    <w:qFormat/>
    <w:rsid w:val="00E03C14"/>
    <w:pPr>
      <w:ind w:left="284"/>
    </w:pPr>
  </w:style>
  <w:style w:type="paragraph" w:customStyle="1" w:styleId="ECHRDecisionBody">
    <w:name w:val="ECHR_Decision_Body"/>
    <w:aliases w:val="Ju_Judges"/>
    <w:basedOn w:val="Normale"/>
    <w:uiPriority w:val="11"/>
    <w:qFormat/>
    <w:rsid w:val="00E03C14"/>
    <w:pPr>
      <w:tabs>
        <w:tab w:val="left" w:pos="567"/>
        <w:tab w:val="left" w:pos="1134"/>
      </w:tabs>
      <w:jc w:val="left"/>
    </w:pPr>
  </w:style>
  <w:style w:type="character" w:customStyle="1" w:styleId="Titolo3Carattere">
    <w:name w:val="Titolo 3 Carattere"/>
    <w:basedOn w:val="Carpredefinitoparagrafo"/>
    <w:link w:val="Titolo3"/>
    <w:uiPriority w:val="99"/>
    <w:semiHidden/>
    <w:rsid w:val="00E03C14"/>
    <w:rPr>
      <w:rFonts w:asciiTheme="majorHAnsi" w:eastAsiaTheme="majorEastAsia" w:hAnsiTheme="majorHAnsi" w:cstheme="majorBidi"/>
      <w:b/>
      <w:bCs/>
      <w:color w:val="5F5F5F"/>
      <w:sz w:val="24"/>
      <w:lang w:val="en-GB"/>
    </w:rPr>
  </w:style>
  <w:style w:type="paragraph" w:customStyle="1" w:styleId="ECHRPara">
    <w:name w:val="ECHR_Para"/>
    <w:aliases w:val="Ju_Para"/>
    <w:basedOn w:val="Normale"/>
    <w:link w:val="ECHRParaChar"/>
    <w:uiPriority w:val="12"/>
    <w:qFormat/>
    <w:rsid w:val="00E03C14"/>
    <w:pPr>
      <w:ind w:firstLine="284"/>
    </w:pPr>
  </w:style>
  <w:style w:type="character" w:customStyle="1" w:styleId="Titolo4Carattere">
    <w:name w:val="Titolo 4 Carattere"/>
    <w:basedOn w:val="Carpredefinitoparagrafo"/>
    <w:link w:val="Titolo4"/>
    <w:uiPriority w:val="99"/>
    <w:semiHidden/>
    <w:rsid w:val="00E03C14"/>
    <w:rPr>
      <w:rFonts w:asciiTheme="majorHAnsi" w:eastAsiaTheme="majorEastAsia" w:hAnsiTheme="majorHAnsi" w:cstheme="majorBidi"/>
      <w:b/>
      <w:bCs/>
      <w:i/>
      <w:iCs/>
      <w:color w:val="777777"/>
      <w:sz w:val="24"/>
      <w:lang w:val="en-GB"/>
    </w:rPr>
  </w:style>
  <w:style w:type="character" w:customStyle="1" w:styleId="Titolo5Carattere">
    <w:name w:val="Titolo 5 Carattere"/>
    <w:basedOn w:val="Carpredefinitoparagrafo"/>
    <w:link w:val="Titolo5"/>
    <w:uiPriority w:val="99"/>
    <w:semiHidden/>
    <w:rsid w:val="00E03C14"/>
    <w:rPr>
      <w:rFonts w:asciiTheme="majorHAnsi" w:eastAsiaTheme="majorEastAsia" w:hAnsiTheme="majorHAnsi" w:cstheme="majorBidi"/>
      <w:b/>
      <w:bCs/>
      <w:color w:val="808080"/>
    </w:rPr>
  </w:style>
  <w:style w:type="character" w:styleId="Enfasidelicata">
    <w:name w:val="Subtle Emphasis"/>
    <w:uiPriority w:val="99"/>
    <w:semiHidden/>
    <w:qFormat/>
    <w:rsid w:val="00E03C14"/>
    <w:rPr>
      <w:i/>
      <w:iCs/>
    </w:r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e"/>
    <w:next w:val="ECHRPara"/>
    <w:uiPriority w:val="18"/>
    <w:qFormat/>
    <w:rsid w:val="00E03C14"/>
    <w:pPr>
      <w:keepNext/>
      <w:keepLines/>
      <w:spacing w:before="720" w:after="240"/>
      <w:outlineLvl w:val="0"/>
    </w:pPr>
    <w:rPr>
      <w:rFonts w:asciiTheme="majorHAnsi" w:hAnsiTheme="majorHAnsi"/>
      <w:sz w:val="28"/>
    </w:rPr>
  </w:style>
  <w:style w:type="character" w:styleId="Enfasicorsivo">
    <w:name w:val="Emphasis"/>
    <w:uiPriority w:val="99"/>
    <w:semiHidden/>
    <w:qFormat/>
    <w:rsid w:val="00E03C14"/>
    <w:rPr>
      <w:b/>
      <w:bCs/>
      <w:i/>
      <w:iCs/>
      <w:spacing w:val="10"/>
      <w:bdr w:val="none" w:sz="0" w:space="0" w:color="auto"/>
      <w:shd w:val="clear" w:color="auto" w:fill="auto"/>
    </w:rPr>
  </w:style>
  <w:style w:type="paragraph" w:styleId="Pidipagina">
    <w:name w:val="footer"/>
    <w:basedOn w:val="Normale"/>
    <w:link w:val="PidipaginaCarattere"/>
    <w:uiPriority w:val="57"/>
    <w:semiHidden/>
    <w:rsid w:val="00E03C14"/>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E03C14"/>
    <w:rPr>
      <w:sz w:val="24"/>
      <w:lang w:val="en-GB"/>
    </w:rPr>
  </w:style>
  <w:style w:type="character" w:styleId="Rimandonotaapidipagina">
    <w:name w:val="footnote reference"/>
    <w:basedOn w:val="Carpredefinitoparagrafo"/>
    <w:uiPriority w:val="99"/>
    <w:semiHidden/>
    <w:rsid w:val="00E03C14"/>
    <w:rPr>
      <w:vertAlign w:val="superscript"/>
    </w:rPr>
  </w:style>
  <w:style w:type="paragraph" w:styleId="Testonotaapidipagina">
    <w:name w:val="footnote text"/>
    <w:basedOn w:val="Normale"/>
    <w:link w:val="TestonotaapidipaginaCarattere"/>
    <w:uiPriority w:val="99"/>
    <w:semiHidden/>
    <w:rsid w:val="00E03C14"/>
    <w:rPr>
      <w:sz w:val="20"/>
      <w:szCs w:val="20"/>
    </w:rPr>
  </w:style>
  <w:style w:type="character" w:customStyle="1" w:styleId="TestonotaapidipaginaCarattere">
    <w:name w:val="Testo nota a piè di pagina Carattere"/>
    <w:basedOn w:val="Carpredefinitoparagrafo"/>
    <w:link w:val="Testonotaapidipagina"/>
    <w:uiPriority w:val="99"/>
    <w:semiHidden/>
    <w:rsid w:val="00E03C14"/>
    <w:rPr>
      <w:rFonts w:eastAsiaTheme="minorEastAsia"/>
      <w:sz w:val="20"/>
      <w:szCs w:val="20"/>
      <w:lang w:val="en-GB"/>
    </w:rPr>
  </w:style>
  <w:style w:type="character" w:customStyle="1" w:styleId="Titolo6Carattere">
    <w:name w:val="Titolo 6 Carattere"/>
    <w:basedOn w:val="Carpredefinitoparagrafo"/>
    <w:link w:val="Titolo6"/>
    <w:uiPriority w:val="99"/>
    <w:semiHidden/>
    <w:rsid w:val="00E03C14"/>
    <w:rPr>
      <w:rFonts w:asciiTheme="majorHAnsi" w:eastAsiaTheme="majorEastAsia" w:hAnsiTheme="majorHAnsi" w:cstheme="majorBidi"/>
      <w:b/>
      <w:bCs/>
      <w:i/>
      <w:iCs/>
      <w:color w:val="7F7F7F" w:themeColor="text1" w:themeTint="80"/>
      <w:sz w:val="24"/>
      <w:lang w:val="en-GB" w:bidi="en-US"/>
    </w:rPr>
  </w:style>
  <w:style w:type="character" w:customStyle="1" w:styleId="Titolo7Carattere">
    <w:name w:val="Titolo 7 Carattere"/>
    <w:basedOn w:val="Carpredefinitoparagrafo"/>
    <w:link w:val="Titolo7"/>
    <w:uiPriority w:val="99"/>
    <w:semiHidden/>
    <w:rsid w:val="00E03C14"/>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E03C14"/>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E03C14"/>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E03C14"/>
    <w:rPr>
      <w:color w:val="0072BC" w:themeColor="hyperlink"/>
      <w:u w:val="single"/>
    </w:rPr>
  </w:style>
  <w:style w:type="character" w:styleId="Enfasiintensa">
    <w:name w:val="Intense Emphasis"/>
    <w:uiPriority w:val="99"/>
    <w:semiHidden/>
    <w:qFormat/>
    <w:rsid w:val="00E03C14"/>
    <w:rPr>
      <w:b/>
      <w:bCs/>
    </w:rPr>
  </w:style>
  <w:style w:type="paragraph" w:styleId="Citazioneintensa">
    <w:name w:val="Intense Quote"/>
    <w:basedOn w:val="Normale"/>
    <w:next w:val="Normale"/>
    <w:link w:val="CitazioneintensaCarattere"/>
    <w:uiPriority w:val="99"/>
    <w:semiHidden/>
    <w:qFormat/>
    <w:rsid w:val="00E03C14"/>
    <w:pPr>
      <w:pBdr>
        <w:bottom w:val="single" w:sz="4" w:space="1" w:color="auto"/>
      </w:pBdr>
      <w:spacing w:before="200" w:after="280"/>
      <w:ind w:left="1008" w:right="1152"/>
    </w:pPr>
    <w:rPr>
      <w:b/>
      <w:bCs/>
      <w:i/>
      <w:iCs/>
      <w:sz w:val="22"/>
      <w:lang w:val="en-US" w:bidi="en-US"/>
    </w:rPr>
  </w:style>
  <w:style w:type="character" w:customStyle="1" w:styleId="CitazioneintensaCarattere">
    <w:name w:val="Citazione intensa Carattere"/>
    <w:basedOn w:val="Carpredefinitoparagrafo"/>
    <w:link w:val="Citazioneintensa"/>
    <w:uiPriority w:val="99"/>
    <w:semiHidden/>
    <w:rsid w:val="00E03C14"/>
    <w:rPr>
      <w:rFonts w:eastAsiaTheme="minorEastAsia"/>
      <w:b/>
      <w:bCs/>
      <w:i/>
      <w:iCs/>
      <w:lang w:bidi="en-US"/>
    </w:rPr>
  </w:style>
  <w:style w:type="character" w:styleId="Riferimentointenso">
    <w:name w:val="Intense Reference"/>
    <w:uiPriority w:val="99"/>
    <w:semiHidden/>
    <w:qFormat/>
    <w:rsid w:val="00E03C14"/>
    <w:rPr>
      <w:smallCaps/>
      <w:spacing w:val="5"/>
      <w:u w:val="single"/>
    </w:rPr>
  </w:style>
  <w:style w:type="paragraph" w:styleId="Paragrafoelenco">
    <w:name w:val="List Paragraph"/>
    <w:basedOn w:val="Normale"/>
    <w:uiPriority w:val="99"/>
    <w:semiHidden/>
    <w:qFormat/>
    <w:rsid w:val="00E03C14"/>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E03C14"/>
    <w:pPr>
      <w:spacing w:before="200"/>
      <w:ind w:left="360" w:right="360"/>
    </w:pPr>
    <w:rPr>
      <w:i/>
      <w:iCs/>
      <w:sz w:val="22"/>
      <w:lang w:val="en-US" w:bidi="en-US"/>
    </w:rPr>
  </w:style>
  <w:style w:type="character" w:customStyle="1" w:styleId="CitazioneCarattere">
    <w:name w:val="Citazione Carattere"/>
    <w:basedOn w:val="Carpredefinitoparagrafo"/>
    <w:link w:val="Citazione"/>
    <w:uiPriority w:val="99"/>
    <w:semiHidden/>
    <w:rsid w:val="00E03C14"/>
    <w:rPr>
      <w:rFonts w:eastAsiaTheme="minorEastAsia"/>
      <w:i/>
      <w:iCs/>
      <w:lang w:bidi="en-US"/>
    </w:rPr>
  </w:style>
  <w:style w:type="character" w:styleId="Riferimentodelicato">
    <w:name w:val="Subtle Reference"/>
    <w:uiPriority w:val="99"/>
    <w:semiHidden/>
    <w:qFormat/>
    <w:rsid w:val="00E03C14"/>
    <w:rPr>
      <w:smallCaps/>
    </w:rPr>
  </w:style>
  <w:style w:type="table" w:styleId="Grigliatabella">
    <w:name w:val="Table Grid"/>
    <w:basedOn w:val="Tabellanormale"/>
    <w:uiPriority w:val="59"/>
    <w:semiHidden/>
    <w:rsid w:val="00E03C1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E03C14"/>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E03C14"/>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E03C14"/>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E03C14"/>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E03C14"/>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9"/>
    <w:semiHidden/>
    <w:qFormat/>
    <w:rsid w:val="00E03C14"/>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E03C14"/>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ECHRParaQuote">
    <w:name w:val="ECHR_Para_Quote"/>
    <w:aliases w:val="Ju_Quot"/>
    <w:basedOn w:val="Normale"/>
    <w:uiPriority w:val="14"/>
    <w:qFormat/>
    <w:rsid w:val="00E03C14"/>
    <w:pPr>
      <w:spacing w:before="120" w:after="120"/>
      <w:ind w:left="425" w:firstLine="142"/>
    </w:pPr>
    <w:rPr>
      <w:sz w:val="20"/>
    </w:rPr>
  </w:style>
  <w:style w:type="table" w:customStyle="1" w:styleId="ECHRTableSimpleBox">
    <w:name w:val="ECHR_Table_Simple_Box"/>
    <w:basedOn w:val="Tabellanormale"/>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E03C14"/>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ECHRHeaderTableReduced">
    <w:name w:val="ECHR_Header_Table_Reduced"/>
    <w:basedOn w:val="Tabellanormale"/>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Signed">
    <w:name w:val="Ju_Signed"/>
    <w:basedOn w:val="Normale"/>
    <w:next w:val="JuParaLast"/>
    <w:uiPriority w:val="32"/>
    <w:qFormat/>
    <w:rsid w:val="00E03C14"/>
    <w:pPr>
      <w:tabs>
        <w:tab w:val="center" w:pos="851"/>
        <w:tab w:val="center" w:pos="6407"/>
      </w:tabs>
      <w:spacing w:before="720"/>
      <w:jc w:val="left"/>
    </w:pPr>
  </w:style>
  <w:style w:type="paragraph" w:customStyle="1" w:styleId="JuParaLast">
    <w:name w:val="Ju_Para_Last"/>
    <w:basedOn w:val="Normale"/>
    <w:next w:val="ECHRPara"/>
    <w:uiPriority w:val="30"/>
    <w:qFormat/>
    <w:rsid w:val="00E03C14"/>
    <w:pPr>
      <w:keepNext/>
      <w:keepLines/>
      <w:spacing w:before="240"/>
      <w:ind w:firstLine="284"/>
    </w:pPr>
  </w:style>
  <w:style w:type="paragraph" w:customStyle="1" w:styleId="JuCase">
    <w:name w:val="Ju_Case"/>
    <w:basedOn w:val="Normale"/>
    <w:next w:val="ECHRPara"/>
    <w:uiPriority w:val="10"/>
    <w:rsid w:val="00E03C14"/>
    <w:pPr>
      <w:ind w:firstLine="284"/>
    </w:pPr>
    <w:rPr>
      <w:b/>
    </w:rPr>
  </w:style>
  <w:style w:type="paragraph" w:customStyle="1" w:styleId="JuList">
    <w:name w:val="Ju_List"/>
    <w:basedOn w:val="Normale"/>
    <w:uiPriority w:val="28"/>
    <w:qFormat/>
    <w:rsid w:val="00E03C14"/>
    <w:pPr>
      <w:ind w:left="340" w:hanging="340"/>
    </w:pPr>
  </w:style>
  <w:style w:type="paragraph" w:customStyle="1" w:styleId="JuTitle">
    <w:name w:val="Ju_Title"/>
    <w:basedOn w:val="Normale"/>
    <w:next w:val="ECHRPara"/>
    <w:uiPriority w:val="3"/>
    <w:semiHidden/>
    <w:qFormat/>
    <w:rsid w:val="00E03C14"/>
    <w:pPr>
      <w:spacing w:before="720" w:after="240"/>
      <w:jc w:val="center"/>
      <w:outlineLvl w:val="0"/>
    </w:pPr>
    <w:rPr>
      <w:rFonts w:asciiTheme="majorHAnsi" w:hAnsiTheme="majorHAnsi"/>
      <w:b/>
      <w:caps/>
    </w:rPr>
  </w:style>
  <w:style w:type="character" w:styleId="Numeropagina">
    <w:name w:val="page number"/>
    <w:uiPriority w:val="99"/>
    <w:semiHidden/>
    <w:rsid w:val="00E77CB3"/>
    <w:rPr>
      <w:rFonts w:ascii="Times New Roman" w:hAnsi="Times New Roman" w:cs="Times New Roman"/>
      <w:sz w:val="18"/>
    </w:rPr>
  </w:style>
  <w:style w:type="paragraph" w:customStyle="1" w:styleId="JuLista">
    <w:name w:val="Ju_List_a"/>
    <w:basedOn w:val="JuList"/>
    <w:uiPriority w:val="28"/>
    <w:qFormat/>
    <w:rsid w:val="00E03C14"/>
    <w:pPr>
      <w:ind w:left="346" w:firstLine="0"/>
    </w:pPr>
  </w:style>
  <w:style w:type="paragraph" w:customStyle="1" w:styleId="OpiH1">
    <w:name w:val="Opi_H_1"/>
    <w:basedOn w:val="ECHRHeading2"/>
    <w:uiPriority w:val="42"/>
    <w:qFormat/>
    <w:rsid w:val="00E03C14"/>
    <w:pPr>
      <w:ind w:left="635" w:hanging="357"/>
      <w:outlineLvl w:val="2"/>
    </w:pPr>
  </w:style>
  <w:style w:type="character" w:styleId="Rimandocommento">
    <w:name w:val="annotation reference"/>
    <w:uiPriority w:val="99"/>
    <w:semiHidden/>
    <w:rsid w:val="00E77CB3"/>
    <w:rPr>
      <w:sz w:val="16"/>
    </w:rPr>
  </w:style>
  <w:style w:type="paragraph" w:styleId="Testocommento">
    <w:name w:val="annotation text"/>
    <w:basedOn w:val="Normale"/>
    <w:link w:val="TestocommentoCarattere"/>
    <w:uiPriority w:val="99"/>
    <w:semiHidden/>
    <w:rsid w:val="00E77CB3"/>
    <w:rPr>
      <w:sz w:val="20"/>
    </w:rPr>
  </w:style>
  <w:style w:type="character" w:customStyle="1" w:styleId="TestocommentoCarattere">
    <w:name w:val="Testo commento Carattere"/>
    <w:basedOn w:val="Carpredefinitoparagrafo"/>
    <w:link w:val="Testocommento"/>
    <w:uiPriority w:val="99"/>
    <w:semiHidden/>
    <w:rsid w:val="00E77CB3"/>
    <w:rPr>
      <w:rFonts w:eastAsiaTheme="minorEastAsia"/>
      <w:sz w:val="20"/>
    </w:rPr>
  </w:style>
  <w:style w:type="character" w:styleId="Rimandonotadichiusura">
    <w:name w:val="endnote reference"/>
    <w:basedOn w:val="Carpredefinitoparagrafo"/>
    <w:uiPriority w:val="99"/>
    <w:semiHidden/>
    <w:rsid w:val="00E03C14"/>
    <w:rPr>
      <w:vertAlign w:val="superscript"/>
    </w:rPr>
  </w:style>
  <w:style w:type="paragraph" w:styleId="Testonotadichiusura">
    <w:name w:val="endnote text"/>
    <w:basedOn w:val="Normale"/>
    <w:link w:val="TestonotadichiusuraCarattere"/>
    <w:uiPriority w:val="99"/>
    <w:semiHidden/>
    <w:rsid w:val="00E03C14"/>
    <w:rPr>
      <w:sz w:val="20"/>
      <w:szCs w:val="20"/>
    </w:rPr>
  </w:style>
  <w:style w:type="character" w:customStyle="1" w:styleId="TestonotadichiusuraCarattere">
    <w:name w:val="Testo nota di chiusura Carattere"/>
    <w:basedOn w:val="Carpredefinitoparagrafo"/>
    <w:link w:val="Testonotadichiusura"/>
    <w:uiPriority w:val="99"/>
    <w:semiHidden/>
    <w:rsid w:val="00E03C14"/>
    <w:rPr>
      <w:rFonts w:eastAsiaTheme="minorEastAsia"/>
      <w:sz w:val="20"/>
      <w:szCs w:val="20"/>
      <w:lang w:val="en-GB"/>
    </w:rPr>
  </w:style>
  <w:style w:type="character" w:styleId="Collegamentovisitato">
    <w:name w:val="FollowedHyperlink"/>
    <w:uiPriority w:val="99"/>
    <w:semiHidden/>
    <w:rsid w:val="00E77CB3"/>
    <w:rPr>
      <w:rFonts w:ascii="Times New Roman" w:hAnsi="Times New Roman" w:cs="Times New Roman"/>
      <w:color w:val="800080"/>
      <w:u w:val="single"/>
    </w:rPr>
  </w:style>
  <w:style w:type="paragraph" w:styleId="Puntoelenco">
    <w:name w:val="List Bullet"/>
    <w:basedOn w:val="Normale"/>
    <w:uiPriority w:val="99"/>
    <w:semiHidden/>
    <w:rsid w:val="00E77CB3"/>
    <w:pPr>
      <w:numPr>
        <w:numId w:val="1"/>
      </w:numPr>
    </w:pPr>
  </w:style>
  <w:style w:type="paragraph" w:customStyle="1" w:styleId="OpiHa">
    <w:name w:val="Opi_H_a"/>
    <w:basedOn w:val="ECHRHeading3"/>
    <w:uiPriority w:val="43"/>
    <w:qFormat/>
    <w:rsid w:val="00E03C14"/>
    <w:pPr>
      <w:ind w:left="833" w:hanging="357"/>
      <w:outlineLvl w:val="3"/>
    </w:pPr>
    <w:rPr>
      <w:b/>
      <w:i w:val="0"/>
      <w:sz w:val="20"/>
    </w:rPr>
  </w:style>
  <w:style w:type="paragraph" w:styleId="Soggettocommento">
    <w:name w:val="annotation subject"/>
    <w:basedOn w:val="Testocommento"/>
    <w:next w:val="Testocommento"/>
    <w:link w:val="SoggettocommentoCarattere"/>
    <w:uiPriority w:val="99"/>
    <w:semiHidden/>
    <w:rsid w:val="00E77CB3"/>
    <w:rPr>
      <w:b/>
      <w:bCs/>
    </w:rPr>
  </w:style>
  <w:style w:type="character" w:customStyle="1" w:styleId="SoggettocommentoCarattere">
    <w:name w:val="Soggetto commento Carattere"/>
    <w:basedOn w:val="TestocommentoCarattere"/>
    <w:link w:val="Soggettocommento"/>
    <w:uiPriority w:val="99"/>
    <w:semiHidden/>
    <w:rsid w:val="00E77CB3"/>
    <w:rPr>
      <w:rFonts w:eastAsiaTheme="minorEastAsia"/>
      <w:b/>
      <w:bCs/>
      <w:sz w:val="20"/>
    </w:rPr>
  </w:style>
  <w:style w:type="paragraph" w:styleId="Mappadocumento">
    <w:name w:val="Document Map"/>
    <w:basedOn w:val="Normale"/>
    <w:link w:val="MappadocumentoCarattere"/>
    <w:uiPriority w:val="99"/>
    <w:semiHidden/>
    <w:rsid w:val="00E77CB3"/>
    <w:pPr>
      <w:shd w:val="clear" w:color="auto" w:fill="000080"/>
    </w:pPr>
    <w:rPr>
      <w:rFonts w:ascii="Tahoma" w:hAnsi="Tahoma" w:cs="Tahoma"/>
      <w:sz w:val="20"/>
    </w:rPr>
  </w:style>
  <w:style w:type="character" w:customStyle="1" w:styleId="MappadocumentoCarattere">
    <w:name w:val="Mappa documento Carattere"/>
    <w:basedOn w:val="Carpredefinitoparagrafo"/>
    <w:link w:val="Mappadocumento"/>
    <w:uiPriority w:val="99"/>
    <w:semiHidden/>
    <w:rsid w:val="00E77CB3"/>
    <w:rPr>
      <w:rFonts w:ascii="Tahoma" w:eastAsiaTheme="minorEastAsia" w:hAnsi="Tahoma" w:cs="Tahoma"/>
      <w:sz w:val="20"/>
      <w:shd w:val="clear" w:color="auto" w:fill="000080"/>
    </w:rPr>
  </w:style>
  <w:style w:type="character" w:customStyle="1" w:styleId="JuITMark">
    <w:name w:val="Ju_ITMark"/>
    <w:basedOn w:val="Carpredefinitoparagrafo"/>
    <w:uiPriority w:val="38"/>
    <w:qFormat/>
    <w:rsid w:val="00E03C14"/>
    <w:rPr>
      <w:vanish w:val="0"/>
      <w:color w:val="auto"/>
      <w:sz w:val="14"/>
      <w:bdr w:val="none" w:sz="0" w:space="0" w:color="auto"/>
      <w:shd w:val="clear" w:color="auto" w:fill="BEE5FF" w:themeFill="background1" w:themeFillTint="33"/>
    </w:rPr>
  </w:style>
  <w:style w:type="paragraph" w:styleId="Sottotitolo">
    <w:name w:val="Subtitle"/>
    <w:basedOn w:val="Normale"/>
    <w:next w:val="Normale"/>
    <w:link w:val="SottotitoloCarattere"/>
    <w:uiPriority w:val="99"/>
    <w:semiHidden/>
    <w:qFormat/>
    <w:rsid w:val="00E03C14"/>
    <w:pPr>
      <w:spacing w:after="600"/>
    </w:pPr>
    <w:rPr>
      <w:rFonts w:asciiTheme="majorHAnsi" w:eastAsiaTheme="majorEastAsia" w:hAnsiTheme="majorHAnsi" w:cstheme="majorBidi"/>
      <w:i/>
      <w:iCs/>
      <w:spacing w:val="13"/>
      <w:szCs w:val="24"/>
      <w:lang w:val="en-US" w:bidi="en-US"/>
    </w:rPr>
  </w:style>
  <w:style w:type="character" w:customStyle="1" w:styleId="SottotitoloCarattere">
    <w:name w:val="Sottotitolo Carattere"/>
    <w:basedOn w:val="Carpredefinitoparagrafo"/>
    <w:link w:val="Sottotitolo"/>
    <w:uiPriority w:val="99"/>
    <w:semiHidden/>
    <w:rsid w:val="00E03C14"/>
    <w:rPr>
      <w:rFonts w:asciiTheme="majorHAnsi" w:eastAsiaTheme="majorEastAsia" w:hAnsiTheme="majorHAnsi" w:cstheme="majorBidi"/>
      <w:i/>
      <w:iCs/>
      <w:spacing w:val="13"/>
      <w:sz w:val="24"/>
      <w:szCs w:val="24"/>
      <w:lang w:bidi="en-US"/>
    </w:rPr>
  </w:style>
  <w:style w:type="numbering" w:styleId="111111">
    <w:name w:val="Outline List 2"/>
    <w:basedOn w:val="Nessunelenco"/>
    <w:uiPriority w:val="99"/>
    <w:semiHidden/>
    <w:rsid w:val="00E77CB3"/>
    <w:pPr>
      <w:numPr>
        <w:numId w:val="2"/>
      </w:numPr>
    </w:pPr>
  </w:style>
  <w:style w:type="numbering" w:styleId="1ai">
    <w:name w:val="Outline List 1"/>
    <w:basedOn w:val="Nessunelenco"/>
    <w:uiPriority w:val="99"/>
    <w:semiHidden/>
    <w:rsid w:val="00E77CB3"/>
    <w:pPr>
      <w:numPr>
        <w:numId w:val="3"/>
      </w:numPr>
    </w:pPr>
  </w:style>
  <w:style w:type="numbering" w:styleId="ArticoloSezione">
    <w:name w:val="Outline List 3"/>
    <w:basedOn w:val="Nessunelenco"/>
    <w:uiPriority w:val="99"/>
    <w:semiHidden/>
    <w:rsid w:val="00E77CB3"/>
    <w:pPr>
      <w:numPr>
        <w:numId w:val="4"/>
      </w:numPr>
    </w:pPr>
  </w:style>
  <w:style w:type="paragraph" w:styleId="Bibliografia">
    <w:name w:val="Bibliography"/>
    <w:basedOn w:val="Normale"/>
    <w:next w:val="Normale"/>
    <w:uiPriority w:val="99"/>
    <w:semiHidden/>
    <w:unhideWhenUsed/>
    <w:rsid w:val="00E77CB3"/>
  </w:style>
  <w:style w:type="paragraph" w:styleId="Testodelblocco">
    <w:name w:val="Block Text"/>
    <w:basedOn w:val="Normale"/>
    <w:uiPriority w:val="99"/>
    <w:semiHidden/>
    <w:rsid w:val="00E77CB3"/>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Corpotesto">
    <w:name w:val="Body Text"/>
    <w:basedOn w:val="Normale"/>
    <w:link w:val="CorpotestoCarattere"/>
    <w:uiPriority w:val="99"/>
    <w:semiHidden/>
    <w:rsid w:val="00E77CB3"/>
    <w:pPr>
      <w:spacing w:after="120"/>
    </w:pPr>
  </w:style>
  <w:style w:type="character" w:customStyle="1" w:styleId="CorpotestoCarattere">
    <w:name w:val="Corpo testo Carattere"/>
    <w:basedOn w:val="Carpredefinitoparagrafo"/>
    <w:link w:val="Corpotesto"/>
    <w:uiPriority w:val="99"/>
    <w:semiHidden/>
    <w:rsid w:val="00E77CB3"/>
    <w:rPr>
      <w:rFonts w:eastAsiaTheme="minorEastAsia"/>
      <w:sz w:val="24"/>
    </w:rPr>
  </w:style>
  <w:style w:type="paragraph" w:styleId="Corpodeltesto2">
    <w:name w:val="Body Text 2"/>
    <w:basedOn w:val="Normale"/>
    <w:link w:val="Corpodeltesto2Carattere"/>
    <w:uiPriority w:val="99"/>
    <w:semiHidden/>
    <w:rsid w:val="00E77CB3"/>
    <w:pPr>
      <w:spacing w:after="120" w:line="480" w:lineRule="auto"/>
    </w:pPr>
  </w:style>
  <w:style w:type="character" w:customStyle="1" w:styleId="Corpodeltesto2Carattere">
    <w:name w:val="Corpo del testo 2 Carattere"/>
    <w:basedOn w:val="Carpredefinitoparagrafo"/>
    <w:link w:val="Corpodeltesto2"/>
    <w:uiPriority w:val="99"/>
    <w:semiHidden/>
    <w:rsid w:val="00E77CB3"/>
    <w:rPr>
      <w:rFonts w:eastAsiaTheme="minorEastAsia"/>
      <w:sz w:val="24"/>
    </w:rPr>
  </w:style>
  <w:style w:type="paragraph" w:styleId="Corpodeltesto3">
    <w:name w:val="Body Text 3"/>
    <w:basedOn w:val="Normale"/>
    <w:link w:val="Corpodeltesto3Carattere"/>
    <w:uiPriority w:val="99"/>
    <w:semiHidden/>
    <w:rsid w:val="00E77CB3"/>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E77CB3"/>
    <w:rPr>
      <w:rFonts w:eastAsiaTheme="minorEastAsia"/>
      <w:sz w:val="16"/>
      <w:szCs w:val="16"/>
    </w:rPr>
  </w:style>
  <w:style w:type="paragraph" w:styleId="Primorientrocorpodeltesto">
    <w:name w:val="Body Text First Indent"/>
    <w:basedOn w:val="Corpotesto"/>
    <w:link w:val="PrimorientrocorpodeltestoCarattere"/>
    <w:uiPriority w:val="99"/>
    <w:semiHidden/>
    <w:rsid w:val="00E77CB3"/>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E77CB3"/>
    <w:rPr>
      <w:rFonts w:eastAsiaTheme="minorEastAsia"/>
      <w:sz w:val="24"/>
    </w:rPr>
  </w:style>
  <w:style w:type="paragraph" w:styleId="Rientrocorpodeltesto">
    <w:name w:val="Body Text Indent"/>
    <w:basedOn w:val="Normale"/>
    <w:link w:val="RientrocorpodeltestoCarattere"/>
    <w:uiPriority w:val="99"/>
    <w:semiHidden/>
    <w:rsid w:val="00E77CB3"/>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E77CB3"/>
    <w:rPr>
      <w:rFonts w:eastAsiaTheme="minorEastAsia"/>
      <w:sz w:val="24"/>
    </w:rPr>
  </w:style>
  <w:style w:type="paragraph" w:styleId="Primorientrocorpodeltesto2">
    <w:name w:val="Body Text First Indent 2"/>
    <w:basedOn w:val="Rientrocorpodeltesto"/>
    <w:link w:val="Primorientrocorpodeltesto2Carattere"/>
    <w:uiPriority w:val="99"/>
    <w:semiHidden/>
    <w:rsid w:val="00E77CB3"/>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E77CB3"/>
    <w:rPr>
      <w:rFonts w:eastAsiaTheme="minorEastAsia"/>
      <w:sz w:val="24"/>
    </w:rPr>
  </w:style>
  <w:style w:type="paragraph" w:styleId="Rientrocorpodeltesto2">
    <w:name w:val="Body Text Indent 2"/>
    <w:basedOn w:val="Normale"/>
    <w:link w:val="Rientrocorpodeltesto2Carattere"/>
    <w:uiPriority w:val="99"/>
    <w:semiHidden/>
    <w:rsid w:val="00E77CB3"/>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E77CB3"/>
    <w:rPr>
      <w:rFonts w:eastAsiaTheme="minorEastAsia"/>
      <w:sz w:val="24"/>
    </w:rPr>
  </w:style>
  <w:style w:type="paragraph" w:styleId="Rientrocorpodeltesto3">
    <w:name w:val="Body Text Indent 3"/>
    <w:basedOn w:val="Normale"/>
    <w:link w:val="Rientrocorpodeltesto3Carattere"/>
    <w:uiPriority w:val="99"/>
    <w:semiHidden/>
    <w:rsid w:val="00E77CB3"/>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E77CB3"/>
    <w:rPr>
      <w:rFonts w:eastAsiaTheme="minorEastAsia"/>
      <w:sz w:val="16"/>
      <w:szCs w:val="16"/>
    </w:rPr>
  </w:style>
  <w:style w:type="paragraph" w:styleId="Didascalia">
    <w:name w:val="caption"/>
    <w:basedOn w:val="Normale"/>
    <w:next w:val="Normale"/>
    <w:uiPriority w:val="99"/>
    <w:semiHidden/>
    <w:qFormat/>
    <w:rsid w:val="00E77CB3"/>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E77CB3"/>
    <w:pPr>
      <w:ind w:left="4252"/>
    </w:pPr>
  </w:style>
  <w:style w:type="character" w:customStyle="1" w:styleId="FormuladichiusuraCarattere">
    <w:name w:val="Formula di chiusura Carattere"/>
    <w:basedOn w:val="Carpredefinitoparagrafo"/>
    <w:link w:val="Formuladichiusura"/>
    <w:uiPriority w:val="99"/>
    <w:semiHidden/>
    <w:rsid w:val="00E77CB3"/>
    <w:rPr>
      <w:rFonts w:eastAsiaTheme="minorEastAsia"/>
      <w:sz w:val="24"/>
    </w:rPr>
  </w:style>
  <w:style w:type="table" w:styleId="Grigliaacolori">
    <w:name w:val="Colorful Grid"/>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99"/>
    <w:semiHidden/>
    <w:rsid w:val="00E77CB3"/>
    <w:rPr>
      <w:color w:val="000000" w:themeColor="text1"/>
      <w:lang w:val="fr-FR"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99"/>
    <w:semiHidden/>
    <w:rsid w:val="00E77CB3"/>
    <w:rPr>
      <w:color w:val="000000" w:themeColor="text1"/>
      <w:lang w:val="fr-FR"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99"/>
    <w:semiHidden/>
    <w:rsid w:val="00E77CB3"/>
    <w:rPr>
      <w:color w:val="000000" w:themeColor="text1"/>
      <w:lang w:val="fr-FR"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99"/>
    <w:semiHidden/>
    <w:rsid w:val="00E77CB3"/>
    <w:rPr>
      <w:color w:val="000000" w:themeColor="text1"/>
      <w:lang w:val="fr-FR"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99"/>
    <w:semiHidden/>
    <w:rsid w:val="00E77CB3"/>
    <w:rPr>
      <w:color w:val="000000" w:themeColor="text1"/>
      <w:lang w:val="fr-FR"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99"/>
    <w:semiHidden/>
    <w:rsid w:val="00E77CB3"/>
    <w:rPr>
      <w:color w:val="000000" w:themeColor="text1"/>
      <w:lang w:val="fr-FR"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99"/>
    <w:semiHidden/>
    <w:rsid w:val="00E77CB3"/>
    <w:rPr>
      <w:color w:val="000000" w:themeColor="text1"/>
      <w:lang w:val="fr-FR"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99"/>
    <w:semiHidden/>
    <w:rsid w:val="00E77CB3"/>
    <w:rPr>
      <w:color w:val="000000" w:themeColor="text1"/>
      <w:lang w:val="fr-FR"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99"/>
    <w:semiHidden/>
    <w:rsid w:val="00E77CB3"/>
    <w:rPr>
      <w:color w:val="000000" w:themeColor="text1"/>
      <w:lang w:val="fr-FR"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99"/>
    <w:semiHidden/>
    <w:rsid w:val="00E77CB3"/>
    <w:rPr>
      <w:color w:val="000000" w:themeColor="text1"/>
      <w:lang w:val="fr-FR"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99"/>
    <w:semiHidden/>
    <w:rsid w:val="00E77CB3"/>
    <w:rPr>
      <w:color w:val="000000" w:themeColor="text1"/>
      <w:lang w:val="fr-FR"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Elencoscuro">
    <w:name w:val="Dark List"/>
    <w:basedOn w:val="Tabellanormale"/>
    <w:uiPriority w:val="99"/>
    <w:semiHidden/>
    <w:rsid w:val="00E77CB3"/>
    <w:rPr>
      <w:color w:val="0072BC"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99"/>
    <w:semiHidden/>
    <w:rsid w:val="00E77CB3"/>
    <w:rPr>
      <w:color w:val="0072BC" w:themeColor="background1"/>
      <w:lang w:val="fr-FR"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99"/>
    <w:semiHidden/>
    <w:rsid w:val="00E77CB3"/>
    <w:rPr>
      <w:color w:val="0072BC" w:themeColor="background1"/>
      <w:lang w:val="fr-FR"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99"/>
    <w:semiHidden/>
    <w:rsid w:val="00E77CB3"/>
    <w:rPr>
      <w:color w:val="0072BC" w:themeColor="background1"/>
      <w:lang w:val="fr-FR"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99"/>
    <w:semiHidden/>
    <w:rsid w:val="00E77CB3"/>
    <w:rPr>
      <w:color w:val="0072BC" w:themeColor="background1"/>
      <w:lang w:val="fr-FR"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99"/>
    <w:semiHidden/>
    <w:rsid w:val="00E77CB3"/>
    <w:rPr>
      <w:color w:val="0072BC" w:themeColor="background1"/>
      <w:lang w:val="fr-FR"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99"/>
    <w:semiHidden/>
    <w:rsid w:val="00E77CB3"/>
    <w:rPr>
      <w:color w:val="0072BC" w:themeColor="background1"/>
      <w:lang w:val="fr-FR"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E77CB3"/>
  </w:style>
  <w:style w:type="character" w:customStyle="1" w:styleId="DataCarattere">
    <w:name w:val="Data Carattere"/>
    <w:basedOn w:val="Carpredefinitoparagrafo"/>
    <w:link w:val="Data"/>
    <w:uiPriority w:val="99"/>
    <w:semiHidden/>
    <w:rsid w:val="00E77CB3"/>
    <w:rPr>
      <w:rFonts w:eastAsiaTheme="minorEastAsia"/>
      <w:sz w:val="24"/>
    </w:rPr>
  </w:style>
  <w:style w:type="paragraph" w:styleId="Firmadipostaelettronica">
    <w:name w:val="E-mail Signature"/>
    <w:basedOn w:val="Normale"/>
    <w:link w:val="FirmadipostaelettronicaCarattere"/>
    <w:uiPriority w:val="99"/>
    <w:semiHidden/>
    <w:rsid w:val="00E77CB3"/>
  </w:style>
  <w:style w:type="character" w:customStyle="1" w:styleId="FirmadipostaelettronicaCarattere">
    <w:name w:val="Firma di posta elettronica Carattere"/>
    <w:basedOn w:val="Carpredefinitoparagrafo"/>
    <w:link w:val="Firmadipostaelettronica"/>
    <w:uiPriority w:val="99"/>
    <w:semiHidden/>
    <w:rsid w:val="00E77CB3"/>
    <w:rPr>
      <w:rFonts w:eastAsiaTheme="minorEastAsia"/>
      <w:sz w:val="24"/>
    </w:rPr>
  </w:style>
  <w:style w:type="paragraph" w:styleId="Indirizzodestinatario">
    <w:name w:val="envelope address"/>
    <w:basedOn w:val="Normale"/>
    <w:uiPriority w:val="99"/>
    <w:semiHidden/>
    <w:rsid w:val="00E77CB3"/>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Indirizzomittente">
    <w:name w:val="envelope return"/>
    <w:basedOn w:val="Normale"/>
    <w:uiPriority w:val="99"/>
    <w:semiHidden/>
    <w:rsid w:val="00E77CB3"/>
    <w:rPr>
      <w:rFonts w:asciiTheme="majorHAnsi" w:eastAsiaTheme="majorEastAsia" w:hAnsiTheme="majorHAnsi" w:cstheme="majorBidi"/>
      <w:sz w:val="20"/>
      <w:szCs w:val="20"/>
    </w:rPr>
  </w:style>
  <w:style w:type="character" w:styleId="AcronimoHTML">
    <w:name w:val="HTML Acronym"/>
    <w:basedOn w:val="Carpredefinitoparagrafo"/>
    <w:uiPriority w:val="99"/>
    <w:semiHidden/>
    <w:rsid w:val="00E77CB3"/>
  </w:style>
  <w:style w:type="paragraph" w:styleId="IndirizzoHTML">
    <w:name w:val="HTML Address"/>
    <w:basedOn w:val="Normale"/>
    <w:link w:val="IndirizzoHTMLCarattere"/>
    <w:uiPriority w:val="99"/>
    <w:semiHidden/>
    <w:rsid w:val="00E77CB3"/>
    <w:rPr>
      <w:i/>
      <w:iCs/>
    </w:rPr>
  </w:style>
  <w:style w:type="character" w:customStyle="1" w:styleId="IndirizzoHTMLCarattere">
    <w:name w:val="Indirizzo HTML Carattere"/>
    <w:basedOn w:val="Carpredefinitoparagrafo"/>
    <w:link w:val="IndirizzoHTML"/>
    <w:uiPriority w:val="99"/>
    <w:semiHidden/>
    <w:rsid w:val="00E77CB3"/>
    <w:rPr>
      <w:rFonts w:eastAsiaTheme="minorEastAsia"/>
      <w:i/>
      <w:iCs/>
      <w:sz w:val="24"/>
    </w:rPr>
  </w:style>
  <w:style w:type="character" w:styleId="CitazioneHTML">
    <w:name w:val="HTML Cite"/>
    <w:basedOn w:val="Carpredefinitoparagrafo"/>
    <w:uiPriority w:val="99"/>
    <w:semiHidden/>
    <w:rsid w:val="00E77CB3"/>
    <w:rPr>
      <w:i/>
      <w:iCs/>
    </w:rPr>
  </w:style>
  <w:style w:type="character" w:styleId="CodiceHTML">
    <w:name w:val="HTML Code"/>
    <w:basedOn w:val="Carpredefinitoparagrafo"/>
    <w:uiPriority w:val="99"/>
    <w:semiHidden/>
    <w:rsid w:val="00E77CB3"/>
    <w:rPr>
      <w:rFonts w:ascii="Consolas" w:hAnsi="Consolas" w:cs="Consolas"/>
      <w:sz w:val="20"/>
      <w:szCs w:val="20"/>
    </w:rPr>
  </w:style>
  <w:style w:type="character" w:styleId="DefinizioneHTML">
    <w:name w:val="HTML Definition"/>
    <w:basedOn w:val="Carpredefinitoparagrafo"/>
    <w:uiPriority w:val="99"/>
    <w:semiHidden/>
    <w:rsid w:val="00E77CB3"/>
    <w:rPr>
      <w:i/>
      <w:iCs/>
    </w:rPr>
  </w:style>
  <w:style w:type="character" w:styleId="TastieraHTML">
    <w:name w:val="HTML Keyboard"/>
    <w:basedOn w:val="Carpredefinitoparagrafo"/>
    <w:uiPriority w:val="99"/>
    <w:semiHidden/>
    <w:rsid w:val="00E77CB3"/>
    <w:rPr>
      <w:rFonts w:ascii="Consolas" w:hAnsi="Consolas" w:cs="Consolas"/>
      <w:sz w:val="20"/>
      <w:szCs w:val="20"/>
    </w:rPr>
  </w:style>
  <w:style w:type="paragraph" w:styleId="PreformattatoHTML">
    <w:name w:val="HTML Preformatted"/>
    <w:basedOn w:val="Normale"/>
    <w:link w:val="PreformattatoHTMLCarattere"/>
    <w:uiPriority w:val="99"/>
    <w:semiHidden/>
    <w:rsid w:val="00E77CB3"/>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E77CB3"/>
    <w:rPr>
      <w:rFonts w:ascii="Consolas" w:eastAsiaTheme="minorEastAsia" w:hAnsi="Consolas" w:cs="Consolas"/>
      <w:sz w:val="20"/>
      <w:szCs w:val="20"/>
    </w:rPr>
  </w:style>
  <w:style w:type="character" w:styleId="EsempioHTML">
    <w:name w:val="HTML Sample"/>
    <w:basedOn w:val="Carpredefinitoparagrafo"/>
    <w:uiPriority w:val="99"/>
    <w:semiHidden/>
    <w:rsid w:val="00E77CB3"/>
    <w:rPr>
      <w:rFonts w:ascii="Consolas" w:hAnsi="Consolas" w:cs="Consolas"/>
      <w:sz w:val="24"/>
      <w:szCs w:val="24"/>
    </w:rPr>
  </w:style>
  <w:style w:type="character" w:styleId="MacchinadascrivereHTML">
    <w:name w:val="HTML Typewriter"/>
    <w:basedOn w:val="Carpredefinitoparagrafo"/>
    <w:uiPriority w:val="99"/>
    <w:semiHidden/>
    <w:rsid w:val="00E77CB3"/>
    <w:rPr>
      <w:rFonts w:ascii="Consolas" w:hAnsi="Consolas" w:cs="Consolas"/>
      <w:sz w:val="20"/>
      <w:szCs w:val="20"/>
    </w:rPr>
  </w:style>
  <w:style w:type="character" w:styleId="VariabileHTML">
    <w:name w:val="HTML Variable"/>
    <w:basedOn w:val="Carpredefinitoparagrafo"/>
    <w:uiPriority w:val="99"/>
    <w:semiHidden/>
    <w:rsid w:val="00E77CB3"/>
    <w:rPr>
      <w:i/>
      <w:iCs/>
    </w:rPr>
  </w:style>
  <w:style w:type="paragraph" w:styleId="Indice1">
    <w:name w:val="index 1"/>
    <w:basedOn w:val="Normale"/>
    <w:next w:val="Normale"/>
    <w:autoRedefine/>
    <w:uiPriority w:val="99"/>
    <w:semiHidden/>
    <w:rsid w:val="00E77CB3"/>
    <w:pPr>
      <w:ind w:left="240" w:hanging="240"/>
    </w:pPr>
  </w:style>
  <w:style w:type="paragraph" w:styleId="Indice2">
    <w:name w:val="index 2"/>
    <w:basedOn w:val="Normale"/>
    <w:next w:val="Normale"/>
    <w:autoRedefine/>
    <w:uiPriority w:val="99"/>
    <w:semiHidden/>
    <w:rsid w:val="00E77CB3"/>
    <w:pPr>
      <w:ind w:left="480" w:hanging="240"/>
    </w:pPr>
  </w:style>
  <w:style w:type="paragraph" w:styleId="Indice3">
    <w:name w:val="index 3"/>
    <w:basedOn w:val="Normale"/>
    <w:next w:val="Normale"/>
    <w:autoRedefine/>
    <w:uiPriority w:val="99"/>
    <w:semiHidden/>
    <w:rsid w:val="00E77CB3"/>
    <w:pPr>
      <w:ind w:left="720" w:hanging="240"/>
    </w:pPr>
  </w:style>
  <w:style w:type="paragraph" w:styleId="Indice4">
    <w:name w:val="index 4"/>
    <w:basedOn w:val="Normale"/>
    <w:next w:val="Normale"/>
    <w:autoRedefine/>
    <w:uiPriority w:val="99"/>
    <w:semiHidden/>
    <w:rsid w:val="00E77CB3"/>
    <w:pPr>
      <w:ind w:left="960" w:hanging="240"/>
    </w:pPr>
  </w:style>
  <w:style w:type="paragraph" w:styleId="Indice5">
    <w:name w:val="index 5"/>
    <w:basedOn w:val="Normale"/>
    <w:next w:val="Normale"/>
    <w:autoRedefine/>
    <w:uiPriority w:val="99"/>
    <w:semiHidden/>
    <w:rsid w:val="00E77CB3"/>
    <w:pPr>
      <w:ind w:left="1200" w:hanging="240"/>
    </w:pPr>
  </w:style>
  <w:style w:type="paragraph" w:styleId="Indice6">
    <w:name w:val="index 6"/>
    <w:basedOn w:val="Normale"/>
    <w:next w:val="Normale"/>
    <w:autoRedefine/>
    <w:uiPriority w:val="99"/>
    <w:semiHidden/>
    <w:rsid w:val="00E77CB3"/>
    <w:pPr>
      <w:ind w:left="1440" w:hanging="240"/>
    </w:pPr>
  </w:style>
  <w:style w:type="paragraph" w:styleId="Indice7">
    <w:name w:val="index 7"/>
    <w:basedOn w:val="Normale"/>
    <w:next w:val="Normale"/>
    <w:autoRedefine/>
    <w:uiPriority w:val="99"/>
    <w:semiHidden/>
    <w:rsid w:val="00E77CB3"/>
    <w:pPr>
      <w:ind w:left="1680" w:hanging="240"/>
    </w:pPr>
  </w:style>
  <w:style w:type="paragraph" w:styleId="Indice8">
    <w:name w:val="index 8"/>
    <w:basedOn w:val="Normale"/>
    <w:next w:val="Normale"/>
    <w:autoRedefine/>
    <w:uiPriority w:val="99"/>
    <w:semiHidden/>
    <w:rsid w:val="00E77CB3"/>
    <w:pPr>
      <w:ind w:left="1920" w:hanging="240"/>
    </w:pPr>
  </w:style>
  <w:style w:type="paragraph" w:styleId="Indice9">
    <w:name w:val="index 9"/>
    <w:basedOn w:val="Normale"/>
    <w:next w:val="Normale"/>
    <w:autoRedefine/>
    <w:uiPriority w:val="99"/>
    <w:semiHidden/>
    <w:rsid w:val="00E77CB3"/>
    <w:pPr>
      <w:ind w:left="2160" w:hanging="240"/>
    </w:pPr>
  </w:style>
  <w:style w:type="paragraph" w:styleId="Titoloindice">
    <w:name w:val="index heading"/>
    <w:basedOn w:val="Normale"/>
    <w:next w:val="Indice1"/>
    <w:uiPriority w:val="99"/>
    <w:semiHidden/>
    <w:rsid w:val="00E77CB3"/>
    <w:rPr>
      <w:rFonts w:asciiTheme="majorHAnsi" w:eastAsiaTheme="majorEastAsia" w:hAnsiTheme="majorHAnsi" w:cstheme="majorBidi"/>
      <w:b/>
      <w:bCs/>
    </w:rPr>
  </w:style>
  <w:style w:type="table" w:styleId="Grigliachiara">
    <w:name w:val="Light Grid"/>
    <w:basedOn w:val="Tabellanormale"/>
    <w:uiPriority w:val="99"/>
    <w:semiHidden/>
    <w:rsid w:val="00E77CB3"/>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99"/>
    <w:semiHidden/>
    <w:rsid w:val="00E77CB3"/>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99"/>
    <w:semiHidden/>
    <w:rsid w:val="00E77CB3"/>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99"/>
    <w:semiHidden/>
    <w:rsid w:val="00E77CB3"/>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99"/>
    <w:semiHidden/>
    <w:rsid w:val="00E77CB3"/>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99"/>
    <w:semiHidden/>
    <w:rsid w:val="00E77CB3"/>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99"/>
    <w:semiHidden/>
    <w:rsid w:val="00E77CB3"/>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99"/>
    <w:semiHidden/>
    <w:rsid w:val="00E77CB3"/>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99"/>
    <w:semiHidden/>
    <w:rsid w:val="00E77CB3"/>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99"/>
    <w:semiHidden/>
    <w:rsid w:val="00E77CB3"/>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99"/>
    <w:semiHidden/>
    <w:rsid w:val="00E77CB3"/>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99"/>
    <w:semiHidden/>
    <w:rsid w:val="00E77CB3"/>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99"/>
    <w:semiHidden/>
    <w:rsid w:val="00E77CB3"/>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99"/>
    <w:semiHidden/>
    <w:rsid w:val="00E77CB3"/>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99"/>
    <w:semiHidden/>
    <w:rsid w:val="00E77CB3"/>
    <w:rPr>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99"/>
    <w:semiHidden/>
    <w:rsid w:val="00E77CB3"/>
    <w:rPr>
      <w:color w:val="00548C" w:themeColor="accent1" w:themeShade="BF"/>
      <w:lang w:val="fr-FR"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99"/>
    <w:semiHidden/>
    <w:rsid w:val="00E77CB3"/>
    <w:rPr>
      <w:color w:val="8F0000" w:themeColor="accent2" w:themeShade="BF"/>
      <w:lang w:val="fr-FR"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99"/>
    <w:semiHidden/>
    <w:rsid w:val="00E77CB3"/>
    <w:rPr>
      <w:color w:val="474747" w:themeColor="accent3" w:themeShade="BF"/>
      <w:lang w:val="fr-FR"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99"/>
    <w:semiHidden/>
    <w:rsid w:val="00E77CB3"/>
    <w:rPr>
      <w:color w:val="707070" w:themeColor="accent4" w:themeShade="BF"/>
      <w:lang w:val="fr-FR"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99"/>
    <w:semiHidden/>
    <w:rsid w:val="00E77CB3"/>
    <w:rPr>
      <w:color w:val="474747" w:themeColor="accent5" w:themeShade="BF"/>
      <w:lang w:val="fr-FR"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99"/>
    <w:semiHidden/>
    <w:rsid w:val="00E77CB3"/>
    <w:rPr>
      <w:color w:val="393939" w:themeColor="accent6" w:themeShade="BF"/>
      <w:lang w:val="fr-FR"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E77CB3"/>
  </w:style>
  <w:style w:type="paragraph" w:styleId="Elenco">
    <w:name w:val="List"/>
    <w:basedOn w:val="Normale"/>
    <w:uiPriority w:val="99"/>
    <w:semiHidden/>
    <w:rsid w:val="00E77CB3"/>
    <w:pPr>
      <w:ind w:left="283" w:hanging="283"/>
      <w:contextualSpacing/>
    </w:pPr>
  </w:style>
  <w:style w:type="paragraph" w:styleId="Elenco2">
    <w:name w:val="List 2"/>
    <w:basedOn w:val="Normale"/>
    <w:uiPriority w:val="99"/>
    <w:semiHidden/>
    <w:rsid w:val="00E77CB3"/>
    <w:pPr>
      <w:ind w:left="566" w:hanging="283"/>
      <w:contextualSpacing/>
    </w:pPr>
  </w:style>
  <w:style w:type="paragraph" w:styleId="Elenco3">
    <w:name w:val="List 3"/>
    <w:basedOn w:val="Normale"/>
    <w:uiPriority w:val="99"/>
    <w:semiHidden/>
    <w:rsid w:val="00E77CB3"/>
    <w:pPr>
      <w:ind w:left="849" w:hanging="283"/>
      <w:contextualSpacing/>
    </w:pPr>
  </w:style>
  <w:style w:type="paragraph" w:styleId="Elenco4">
    <w:name w:val="List 4"/>
    <w:basedOn w:val="Normale"/>
    <w:uiPriority w:val="99"/>
    <w:semiHidden/>
    <w:rsid w:val="00E77CB3"/>
    <w:pPr>
      <w:ind w:left="1132" w:hanging="283"/>
      <w:contextualSpacing/>
    </w:pPr>
  </w:style>
  <w:style w:type="paragraph" w:styleId="Elenco5">
    <w:name w:val="List 5"/>
    <w:basedOn w:val="Normale"/>
    <w:uiPriority w:val="99"/>
    <w:semiHidden/>
    <w:rsid w:val="00E77CB3"/>
    <w:pPr>
      <w:ind w:left="1415" w:hanging="283"/>
      <w:contextualSpacing/>
    </w:pPr>
  </w:style>
  <w:style w:type="paragraph" w:styleId="Puntoelenco2">
    <w:name w:val="List Bullet 2"/>
    <w:basedOn w:val="Normale"/>
    <w:uiPriority w:val="99"/>
    <w:semiHidden/>
    <w:rsid w:val="00E77CB3"/>
    <w:pPr>
      <w:numPr>
        <w:numId w:val="5"/>
      </w:numPr>
      <w:contextualSpacing/>
    </w:pPr>
  </w:style>
  <w:style w:type="paragraph" w:styleId="Puntoelenco3">
    <w:name w:val="List Bullet 3"/>
    <w:basedOn w:val="Normale"/>
    <w:uiPriority w:val="99"/>
    <w:semiHidden/>
    <w:rsid w:val="00E77CB3"/>
    <w:pPr>
      <w:numPr>
        <w:numId w:val="6"/>
      </w:numPr>
      <w:contextualSpacing/>
    </w:pPr>
  </w:style>
  <w:style w:type="paragraph" w:styleId="Puntoelenco4">
    <w:name w:val="List Bullet 4"/>
    <w:basedOn w:val="Normale"/>
    <w:uiPriority w:val="99"/>
    <w:semiHidden/>
    <w:rsid w:val="00E77CB3"/>
    <w:pPr>
      <w:numPr>
        <w:numId w:val="7"/>
      </w:numPr>
      <w:contextualSpacing/>
    </w:pPr>
  </w:style>
  <w:style w:type="paragraph" w:styleId="Puntoelenco5">
    <w:name w:val="List Bullet 5"/>
    <w:basedOn w:val="Normale"/>
    <w:uiPriority w:val="99"/>
    <w:semiHidden/>
    <w:rsid w:val="00E77CB3"/>
    <w:pPr>
      <w:numPr>
        <w:numId w:val="8"/>
      </w:numPr>
      <w:contextualSpacing/>
    </w:pPr>
  </w:style>
  <w:style w:type="paragraph" w:styleId="Elencocontinua">
    <w:name w:val="List Continue"/>
    <w:basedOn w:val="Normale"/>
    <w:uiPriority w:val="99"/>
    <w:semiHidden/>
    <w:rsid w:val="00E77CB3"/>
    <w:pPr>
      <w:spacing w:after="120"/>
      <w:ind w:left="283"/>
      <w:contextualSpacing/>
    </w:pPr>
  </w:style>
  <w:style w:type="paragraph" w:styleId="Elencocontinua2">
    <w:name w:val="List Continue 2"/>
    <w:basedOn w:val="Normale"/>
    <w:uiPriority w:val="99"/>
    <w:semiHidden/>
    <w:rsid w:val="00E77CB3"/>
    <w:pPr>
      <w:spacing w:after="120"/>
      <w:ind w:left="566"/>
      <w:contextualSpacing/>
    </w:pPr>
  </w:style>
  <w:style w:type="paragraph" w:styleId="Elencocontinua3">
    <w:name w:val="List Continue 3"/>
    <w:basedOn w:val="Normale"/>
    <w:uiPriority w:val="99"/>
    <w:semiHidden/>
    <w:rsid w:val="00E77CB3"/>
    <w:pPr>
      <w:spacing w:after="120"/>
      <w:ind w:left="849"/>
      <w:contextualSpacing/>
    </w:pPr>
  </w:style>
  <w:style w:type="paragraph" w:styleId="Elencocontinua4">
    <w:name w:val="List Continue 4"/>
    <w:basedOn w:val="Normale"/>
    <w:uiPriority w:val="99"/>
    <w:semiHidden/>
    <w:rsid w:val="00E77CB3"/>
    <w:pPr>
      <w:spacing w:after="120"/>
      <w:ind w:left="1132"/>
      <w:contextualSpacing/>
    </w:pPr>
  </w:style>
  <w:style w:type="paragraph" w:styleId="Elencocontinua5">
    <w:name w:val="List Continue 5"/>
    <w:basedOn w:val="Normale"/>
    <w:uiPriority w:val="99"/>
    <w:semiHidden/>
    <w:rsid w:val="00E77CB3"/>
    <w:pPr>
      <w:spacing w:after="120"/>
      <w:ind w:left="1415"/>
      <w:contextualSpacing/>
    </w:pPr>
  </w:style>
  <w:style w:type="paragraph" w:styleId="Numeroelenco">
    <w:name w:val="List Number"/>
    <w:basedOn w:val="Normale"/>
    <w:uiPriority w:val="99"/>
    <w:semiHidden/>
    <w:rsid w:val="00E77CB3"/>
    <w:pPr>
      <w:numPr>
        <w:numId w:val="9"/>
      </w:numPr>
      <w:contextualSpacing/>
    </w:pPr>
  </w:style>
  <w:style w:type="paragraph" w:styleId="Numeroelenco2">
    <w:name w:val="List Number 2"/>
    <w:basedOn w:val="Normale"/>
    <w:uiPriority w:val="99"/>
    <w:semiHidden/>
    <w:rsid w:val="00E77CB3"/>
    <w:pPr>
      <w:numPr>
        <w:numId w:val="10"/>
      </w:numPr>
      <w:contextualSpacing/>
    </w:pPr>
  </w:style>
  <w:style w:type="paragraph" w:styleId="Numeroelenco3">
    <w:name w:val="List Number 3"/>
    <w:basedOn w:val="Normale"/>
    <w:uiPriority w:val="99"/>
    <w:semiHidden/>
    <w:rsid w:val="00E77CB3"/>
    <w:pPr>
      <w:numPr>
        <w:numId w:val="11"/>
      </w:numPr>
      <w:contextualSpacing/>
    </w:pPr>
  </w:style>
  <w:style w:type="paragraph" w:styleId="Numeroelenco4">
    <w:name w:val="List Number 4"/>
    <w:basedOn w:val="Normale"/>
    <w:uiPriority w:val="99"/>
    <w:semiHidden/>
    <w:rsid w:val="00E77CB3"/>
    <w:pPr>
      <w:numPr>
        <w:numId w:val="12"/>
      </w:numPr>
      <w:contextualSpacing/>
    </w:pPr>
  </w:style>
  <w:style w:type="paragraph" w:styleId="Numeroelenco5">
    <w:name w:val="List Number 5"/>
    <w:basedOn w:val="Normale"/>
    <w:uiPriority w:val="99"/>
    <w:semiHidden/>
    <w:rsid w:val="00E77CB3"/>
    <w:pPr>
      <w:numPr>
        <w:numId w:val="13"/>
      </w:numPr>
      <w:contextualSpacing/>
    </w:pPr>
  </w:style>
  <w:style w:type="paragraph" w:styleId="Testomacro">
    <w:name w:val="macro"/>
    <w:link w:val="TestomacroCarattere"/>
    <w:uiPriority w:val="99"/>
    <w:semiHidden/>
    <w:rsid w:val="00E77CB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E77CB3"/>
    <w:rPr>
      <w:rFonts w:ascii="Consolas" w:eastAsiaTheme="minorEastAsia" w:hAnsi="Consolas" w:cs="Consolas"/>
      <w:sz w:val="20"/>
      <w:szCs w:val="20"/>
    </w:rPr>
  </w:style>
  <w:style w:type="table" w:styleId="Grigliamedia1">
    <w:name w:val="Medium Grid 1"/>
    <w:basedOn w:val="Tabellanormale"/>
    <w:uiPriority w:val="99"/>
    <w:semiHidden/>
    <w:rsid w:val="00E77CB3"/>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99"/>
    <w:semiHidden/>
    <w:rsid w:val="00E77CB3"/>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99"/>
    <w:semiHidden/>
    <w:rsid w:val="00E77CB3"/>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99"/>
    <w:semiHidden/>
    <w:rsid w:val="00E77CB3"/>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99"/>
    <w:semiHidden/>
    <w:rsid w:val="00E77CB3"/>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99"/>
    <w:semiHidden/>
    <w:rsid w:val="00E77CB3"/>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99"/>
    <w:semiHidden/>
    <w:rsid w:val="00E77CB3"/>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99"/>
    <w:semiHidden/>
    <w:rsid w:val="00E77CB3"/>
    <w:rPr>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99"/>
    <w:semiHidden/>
    <w:rsid w:val="00E77CB3"/>
    <w:rPr>
      <w:color w:val="000000" w:themeColor="text1"/>
      <w:lang w:val="fr-FR"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99"/>
    <w:semiHidden/>
    <w:rsid w:val="00E77CB3"/>
    <w:rPr>
      <w:color w:val="000000" w:themeColor="text1"/>
      <w:lang w:val="fr-FR"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99"/>
    <w:semiHidden/>
    <w:rsid w:val="00E77CB3"/>
    <w:rPr>
      <w:color w:val="000000" w:themeColor="text1"/>
      <w:lang w:val="fr-FR"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99"/>
    <w:semiHidden/>
    <w:rsid w:val="00E77CB3"/>
    <w:rPr>
      <w:color w:val="000000" w:themeColor="text1"/>
      <w:lang w:val="fr-FR"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99"/>
    <w:semiHidden/>
    <w:rsid w:val="00E77CB3"/>
    <w:rPr>
      <w:color w:val="000000" w:themeColor="text1"/>
      <w:lang w:val="fr-FR"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99"/>
    <w:semiHidden/>
    <w:rsid w:val="00E77CB3"/>
    <w:rPr>
      <w:color w:val="000000" w:themeColor="text1"/>
      <w:lang w:val="fr-FR"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99"/>
    <w:semiHidden/>
    <w:rsid w:val="00E77CB3"/>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99"/>
    <w:semiHidden/>
    <w:rsid w:val="00E77CB3"/>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99"/>
    <w:semiHidden/>
    <w:rsid w:val="00E77CB3"/>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99"/>
    <w:semiHidden/>
    <w:rsid w:val="00E77CB3"/>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99"/>
    <w:semiHidden/>
    <w:rsid w:val="00E77CB3"/>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99"/>
    <w:semiHidden/>
    <w:rsid w:val="00E77CB3"/>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99"/>
    <w:semiHidden/>
    <w:rsid w:val="00E77CB3"/>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E77CB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E77CB3"/>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E77CB3"/>
    <w:rPr>
      <w:rFonts w:ascii="Times New Roman" w:hAnsi="Times New Roman" w:cs="Times New Roman"/>
      <w:szCs w:val="24"/>
    </w:rPr>
  </w:style>
  <w:style w:type="paragraph" w:styleId="Rientronormale">
    <w:name w:val="Normal Indent"/>
    <w:basedOn w:val="Normale"/>
    <w:uiPriority w:val="99"/>
    <w:semiHidden/>
    <w:rsid w:val="00E77CB3"/>
    <w:pPr>
      <w:ind w:left="720"/>
    </w:pPr>
  </w:style>
  <w:style w:type="paragraph" w:styleId="Intestazionenota">
    <w:name w:val="Note Heading"/>
    <w:basedOn w:val="Normale"/>
    <w:next w:val="Normale"/>
    <w:link w:val="IntestazionenotaCarattere"/>
    <w:uiPriority w:val="99"/>
    <w:semiHidden/>
    <w:rsid w:val="00E77CB3"/>
  </w:style>
  <w:style w:type="character" w:customStyle="1" w:styleId="IntestazionenotaCarattere">
    <w:name w:val="Intestazione nota Carattere"/>
    <w:basedOn w:val="Carpredefinitoparagrafo"/>
    <w:link w:val="Intestazionenota"/>
    <w:uiPriority w:val="99"/>
    <w:semiHidden/>
    <w:rsid w:val="00E77CB3"/>
    <w:rPr>
      <w:rFonts w:eastAsiaTheme="minorEastAsia"/>
      <w:sz w:val="24"/>
    </w:rPr>
  </w:style>
  <w:style w:type="character" w:styleId="Testosegnaposto">
    <w:name w:val="Placeholder Text"/>
    <w:basedOn w:val="Carpredefinitoparagrafo"/>
    <w:uiPriority w:val="99"/>
    <w:semiHidden/>
    <w:rsid w:val="00E03C14"/>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rsid w:val="00E77CB3"/>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E77CB3"/>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E77CB3"/>
  </w:style>
  <w:style w:type="character" w:customStyle="1" w:styleId="FormuladiaperturaCarattere">
    <w:name w:val="Formula di apertura Carattere"/>
    <w:basedOn w:val="Carpredefinitoparagrafo"/>
    <w:link w:val="Formuladiapertura"/>
    <w:uiPriority w:val="99"/>
    <w:semiHidden/>
    <w:rsid w:val="00E77CB3"/>
    <w:rPr>
      <w:rFonts w:eastAsiaTheme="minorEastAsia"/>
      <w:sz w:val="24"/>
    </w:rPr>
  </w:style>
  <w:style w:type="paragraph" w:styleId="Firma">
    <w:name w:val="Signature"/>
    <w:basedOn w:val="Normale"/>
    <w:link w:val="FirmaCarattere"/>
    <w:uiPriority w:val="99"/>
    <w:semiHidden/>
    <w:rsid w:val="00E77CB3"/>
    <w:pPr>
      <w:ind w:left="4252"/>
    </w:pPr>
  </w:style>
  <w:style w:type="character" w:customStyle="1" w:styleId="FirmaCarattere">
    <w:name w:val="Firma Carattere"/>
    <w:basedOn w:val="Carpredefinitoparagrafo"/>
    <w:link w:val="Firma"/>
    <w:uiPriority w:val="99"/>
    <w:semiHidden/>
    <w:rsid w:val="00E77CB3"/>
    <w:rPr>
      <w:rFonts w:eastAsiaTheme="minorEastAsia"/>
      <w:sz w:val="24"/>
    </w:rPr>
  </w:style>
  <w:style w:type="table" w:styleId="Tabellaeffetti3D1">
    <w:name w:val="Table 3D effects 1"/>
    <w:basedOn w:val="Tabellanormale"/>
    <w:uiPriority w:val="99"/>
    <w:semiHidden/>
    <w:rsid w:val="00E77CB3"/>
    <w:pPr>
      <w:jc w:val="both"/>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rsid w:val="00E77CB3"/>
    <w:pPr>
      <w:jc w:val="both"/>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rsid w:val="00E77CB3"/>
    <w:pPr>
      <w:jc w:val="both"/>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rsid w:val="00E77CB3"/>
    <w:pPr>
      <w:jc w:val="both"/>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rsid w:val="00E77CB3"/>
    <w:pPr>
      <w:jc w:val="both"/>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rsid w:val="00E77CB3"/>
    <w:pPr>
      <w:jc w:val="both"/>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rsid w:val="00E77CB3"/>
    <w:pPr>
      <w:jc w:val="both"/>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rsid w:val="00E77CB3"/>
    <w:pPr>
      <w:jc w:val="both"/>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rsid w:val="00E77CB3"/>
    <w:pPr>
      <w:jc w:val="both"/>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rsid w:val="00E77CB3"/>
    <w:pPr>
      <w:jc w:val="both"/>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rsid w:val="00E77CB3"/>
    <w:pPr>
      <w:jc w:val="both"/>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rsid w:val="00E77CB3"/>
    <w:pPr>
      <w:jc w:val="both"/>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rsid w:val="00E77CB3"/>
    <w:pPr>
      <w:jc w:val="both"/>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rsid w:val="00E77CB3"/>
    <w:pPr>
      <w:jc w:val="both"/>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rsid w:val="00E77CB3"/>
    <w:pPr>
      <w:jc w:val="both"/>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rsid w:val="00E77CB3"/>
    <w:pPr>
      <w:jc w:val="both"/>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rsid w:val="00E77CB3"/>
    <w:pPr>
      <w:jc w:val="both"/>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griglia1">
    <w:name w:val="Table Grid 1"/>
    <w:basedOn w:val="Tabellanormale"/>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uiPriority w:val="99"/>
    <w:semiHidden/>
    <w:rsid w:val="00E77CB3"/>
    <w:pPr>
      <w:jc w:val="both"/>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uiPriority w:val="99"/>
    <w:semiHidden/>
    <w:rsid w:val="00E77CB3"/>
    <w:pPr>
      <w:jc w:val="both"/>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uiPriority w:val="99"/>
    <w:semiHidden/>
    <w:rsid w:val="00E77CB3"/>
    <w:pPr>
      <w:jc w:val="both"/>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uiPriority w:val="99"/>
    <w:semiHidden/>
    <w:rsid w:val="00E77CB3"/>
    <w:pPr>
      <w:jc w:val="both"/>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uiPriority w:val="99"/>
    <w:semiHidden/>
    <w:rsid w:val="00E77CB3"/>
    <w:pPr>
      <w:jc w:val="both"/>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uiPriority w:val="99"/>
    <w:semiHidden/>
    <w:rsid w:val="00E77CB3"/>
    <w:pPr>
      <w:jc w:val="both"/>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uiPriority w:val="99"/>
    <w:semiHidden/>
    <w:rsid w:val="00E77CB3"/>
    <w:pPr>
      <w:jc w:val="both"/>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uiPriority w:val="99"/>
    <w:semiHidden/>
    <w:rsid w:val="00E77CB3"/>
    <w:pPr>
      <w:jc w:val="both"/>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uiPriority w:val="99"/>
    <w:semiHidden/>
    <w:rsid w:val="00E77CB3"/>
    <w:pPr>
      <w:jc w:val="both"/>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uiPriority w:val="99"/>
    <w:semiHidden/>
    <w:rsid w:val="00E77CB3"/>
    <w:pPr>
      <w:jc w:val="both"/>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uiPriority w:val="99"/>
    <w:semiHidden/>
    <w:rsid w:val="00E77CB3"/>
    <w:pPr>
      <w:jc w:val="both"/>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E77CB3"/>
    <w:pPr>
      <w:ind w:left="240" w:hanging="240"/>
    </w:pPr>
  </w:style>
  <w:style w:type="paragraph" w:styleId="Indicedellefigure">
    <w:name w:val="table of figures"/>
    <w:basedOn w:val="Normale"/>
    <w:next w:val="Normale"/>
    <w:uiPriority w:val="99"/>
    <w:semiHidden/>
    <w:rsid w:val="00E77CB3"/>
  </w:style>
  <w:style w:type="table" w:styleId="Tabellaprofessionale">
    <w:name w:val="Table Professional"/>
    <w:basedOn w:val="Tabellanormale"/>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rsid w:val="00E77CB3"/>
    <w:pPr>
      <w:jc w:val="both"/>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rsid w:val="00E77CB3"/>
    <w:pPr>
      <w:jc w:val="both"/>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rsid w:val="00E77CB3"/>
    <w:pPr>
      <w:jc w:val="both"/>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rsid w:val="00E77CB3"/>
    <w:pPr>
      <w:jc w:val="both"/>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rsid w:val="00E77CB3"/>
    <w:pPr>
      <w:jc w:val="both"/>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rsid w:val="00E77CB3"/>
    <w:pPr>
      <w:jc w:val="both"/>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rsid w:val="00E77CB3"/>
    <w:pPr>
      <w:jc w:val="both"/>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rsid w:val="00E77CB3"/>
    <w:pPr>
      <w:jc w:val="both"/>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E03C14"/>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E03C14"/>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rsid w:val="00E77CB3"/>
    <w:pPr>
      <w:spacing w:after="100"/>
      <w:ind w:left="1680"/>
    </w:pPr>
  </w:style>
  <w:style w:type="paragraph" w:styleId="Sommario9">
    <w:name w:val="toc 9"/>
    <w:basedOn w:val="Normale"/>
    <w:next w:val="Normale"/>
    <w:autoRedefine/>
    <w:uiPriority w:val="99"/>
    <w:semiHidden/>
    <w:rsid w:val="00E77CB3"/>
    <w:pPr>
      <w:spacing w:after="100"/>
      <w:ind w:left="1920"/>
    </w:pPr>
  </w:style>
  <w:style w:type="paragraph" w:customStyle="1" w:styleId="OpiHA0">
    <w:name w:val="Opi_H_A"/>
    <w:basedOn w:val="ECHRHeading1"/>
    <w:next w:val="OpiPara"/>
    <w:uiPriority w:val="41"/>
    <w:qFormat/>
    <w:rsid w:val="00E03C14"/>
    <w:pPr>
      <w:tabs>
        <w:tab w:val="clear" w:pos="357"/>
      </w:tabs>
      <w:outlineLvl w:val="1"/>
    </w:pPr>
    <w:rPr>
      <w:b/>
    </w:rPr>
  </w:style>
  <w:style w:type="paragraph" w:customStyle="1" w:styleId="OpiHi">
    <w:name w:val="Opi_H_i"/>
    <w:basedOn w:val="ECHRHeading4"/>
    <w:uiPriority w:val="44"/>
    <w:qFormat/>
    <w:rsid w:val="00E03C14"/>
    <w:pPr>
      <w:ind w:left="1037" w:hanging="357"/>
      <w:outlineLvl w:val="4"/>
    </w:pPr>
    <w:rPr>
      <w:b w:val="0"/>
      <w:i/>
    </w:rPr>
  </w:style>
  <w:style w:type="paragraph" w:customStyle="1" w:styleId="OpiPara">
    <w:name w:val="Opi_Para"/>
    <w:basedOn w:val="ECHRPara"/>
    <w:uiPriority w:val="46"/>
    <w:qFormat/>
    <w:rsid w:val="00E03C14"/>
  </w:style>
  <w:style w:type="paragraph" w:customStyle="1" w:styleId="OpiParaSub">
    <w:name w:val="Opi_Para_Sub"/>
    <w:basedOn w:val="JuParaSub"/>
    <w:uiPriority w:val="47"/>
    <w:qFormat/>
    <w:rsid w:val="00E03C14"/>
  </w:style>
  <w:style w:type="paragraph" w:customStyle="1" w:styleId="OpiQuot">
    <w:name w:val="Opi_Quot"/>
    <w:basedOn w:val="ECHRParaQuote"/>
    <w:uiPriority w:val="48"/>
    <w:qFormat/>
    <w:rsid w:val="00E03C14"/>
  </w:style>
  <w:style w:type="paragraph" w:customStyle="1" w:styleId="OpiQuotSub">
    <w:name w:val="Opi_Quot_Sub"/>
    <w:basedOn w:val="JuQuotSub"/>
    <w:uiPriority w:val="49"/>
    <w:qFormat/>
    <w:rsid w:val="00E03C14"/>
  </w:style>
  <w:style w:type="paragraph" w:customStyle="1" w:styleId="OpiTranslation">
    <w:name w:val="Opi_Translation"/>
    <w:basedOn w:val="Normale"/>
    <w:next w:val="OpiPara"/>
    <w:uiPriority w:val="40"/>
    <w:qFormat/>
    <w:rsid w:val="00E03C14"/>
    <w:pPr>
      <w:jc w:val="center"/>
      <w:outlineLvl w:val="0"/>
    </w:pPr>
    <w:rPr>
      <w:i/>
    </w:rPr>
  </w:style>
  <w:style w:type="paragraph" w:customStyle="1" w:styleId="ECHRSpacer">
    <w:name w:val="ECHR_Spacer"/>
    <w:basedOn w:val="Normale"/>
    <w:uiPriority w:val="45"/>
    <w:rsid w:val="00AA755B"/>
    <w:pPr>
      <w:jc w:val="left"/>
    </w:pPr>
    <w:rPr>
      <w:rFonts w:eastAsiaTheme="minorHAnsi"/>
      <w:sz w:val="4"/>
    </w:rPr>
  </w:style>
  <w:style w:type="character" w:customStyle="1" w:styleId="ECHRParaChar">
    <w:name w:val="ECHR_Para Char"/>
    <w:aliases w:val="Ju_Para Char"/>
    <w:link w:val="ECHRPara"/>
    <w:uiPriority w:val="12"/>
    <w:rsid w:val="00020FE1"/>
    <w:rPr>
      <w:rFonts w:eastAsiaTheme="minorEastAsia"/>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57"/>
    <w:lsdException w:name="footer" w:uiPriority="57"/>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uiPriority="1"/>
    <w:lsdException w:name="Subtitle" w:unhideWhenUsed="0" w:qFormat="1"/>
    <w:lsdException w:name="Salutation" w:unhideWhenUsed="0"/>
    <w:lsdException w:name="Date" w:unhideWhenUsed="0"/>
    <w:lsdException w:name="Body Text First Indent"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e">
    <w:name w:val="Normal"/>
    <w:semiHidden/>
    <w:rsid w:val="00E03C14"/>
    <w:pPr>
      <w:jc w:val="both"/>
    </w:pPr>
    <w:rPr>
      <w:rFonts w:eastAsiaTheme="minorEastAsia"/>
      <w:sz w:val="24"/>
      <w:lang w:val="en-GB"/>
    </w:rPr>
  </w:style>
  <w:style w:type="paragraph" w:styleId="Titolo1">
    <w:name w:val="heading 1"/>
    <w:basedOn w:val="Normale"/>
    <w:next w:val="Normale"/>
    <w:link w:val="Titolo1Carattere"/>
    <w:uiPriority w:val="99"/>
    <w:semiHidden/>
    <w:rsid w:val="00E03C14"/>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E03C14"/>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E03C14"/>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E03C14"/>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E03C14"/>
    <w:pPr>
      <w:spacing w:before="200"/>
      <w:outlineLvl w:val="4"/>
    </w:pPr>
    <w:rPr>
      <w:rFonts w:asciiTheme="majorHAnsi" w:eastAsiaTheme="majorEastAsia" w:hAnsiTheme="majorHAnsi" w:cstheme="majorBidi"/>
      <w:b/>
      <w:bCs/>
      <w:color w:val="808080"/>
      <w:sz w:val="22"/>
      <w:lang w:val="en-US"/>
    </w:rPr>
  </w:style>
  <w:style w:type="paragraph" w:styleId="Titolo6">
    <w:name w:val="heading 6"/>
    <w:basedOn w:val="Normale"/>
    <w:next w:val="Normale"/>
    <w:link w:val="Titolo6Carattere"/>
    <w:uiPriority w:val="99"/>
    <w:semiHidden/>
    <w:rsid w:val="00E03C14"/>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E03C14"/>
    <w:pPr>
      <w:outlineLvl w:val="6"/>
    </w:pPr>
    <w:rPr>
      <w:rFonts w:asciiTheme="majorHAnsi" w:eastAsiaTheme="majorEastAsia" w:hAnsiTheme="majorHAnsi" w:cstheme="majorBidi"/>
      <w:i/>
      <w:iCs/>
      <w:sz w:val="22"/>
      <w:lang w:val="en-US" w:bidi="en-US"/>
    </w:rPr>
  </w:style>
  <w:style w:type="paragraph" w:styleId="Titolo8">
    <w:name w:val="heading 8"/>
    <w:basedOn w:val="Normale"/>
    <w:next w:val="Normale"/>
    <w:link w:val="Titolo8Carattere"/>
    <w:uiPriority w:val="99"/>
    <w:semiHidden/>
    <w:qFormat/>
    <w:rsid w:val="00E03C14"/>
    <w:pPr>
      <w:outlineLvl w:val="7"/>
    </w:pPr>
    <w:rPr>
      <w:rFonts w:asciiTheme="majorHAnsi" w:eastAsiaTheme="majorEastAsia" w:hAnsiTheme="majorHAnsi" w:cstheme="majorBidi"/>
      <w:sz w:val="20"/>
      <w:szCs w:val="20"/>
      <w:lang w:val="en-US" w:bidi="en-US"/>
    </w:rPr>
  </w:style>
  <w:style w:type="paragraph" w:styleId="Titolo9">
    <w:name w:val="heading 9"/>
    <w:basedOn w:val="Normale"/>
    <w:next w:val="Normale"/>
    <w:link w:val="Titolo9Carattere"/>
    <w:uiPriority w:val="99"/>
    <w:semiHidden/>
    <w:qFormat/>
    <w:rsid w:val="00E03C14"/>
    <w:pPr>
      <w:outlineLvl w:val="8"/>
    </w:pPr>
    <w:rPr>
      <w:rFonts w:asciiTheme="majorHAnsi" w:eastAsiaTheme="majorEastAsia" w:hAnsiTheme="majorHAnsi" w:cstheme="majorBidi"/>
      <w:i/>
      <w:iCs/>
      <w:spacing w:val="5"/>
      <w:sz w:val="20"/>
      <w:szCs w:val="20"/>
      <w:lang w:val="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E03C1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03C14"/>
    <w:rPr>
      <w:rFonts w:ascii="Tahoma" w:eastAsiaTheme="minorEastAsia" w:hAnsi="Tahoma" w:cs="Tahoma"/>
      <w:sz w:val="16"/>
      <w:szCs w:val="16"/>
      <w:lang w:val="en-GB"/>
    </w:rPr>
  </w:style>
  <w:style w:type="character" w:styleId="Titolodellibro">
    <w:name w:val="Book Title"/>
    <w:uiPriority w:val="99"/>
    <w:semiHidden/>
    <w:qFormat/>
    <w:rsid w:val="00E03C14"/>
    <w:rPr>
      <w:i/>
      <w:iCs/>
      <w:smallCaps/>
      <w:spacing w:val="5"/>
    </w:rPr>
  </w:style>
  <w:style w:type="paragraph" w:customStyle="1" w:styleId="ECHRHeader">
    <w:name w:val="ECHR_Header"/>
    <w:aliases w:val="Ju_Header"/>
    <w:basedOn w:val="Intestazione"/>
    <w:uiPriority w:val="4"/>
    <w:qFormat/>
    <w:rsid w:val="00E03C14"/>
    <w:pPr>
      <w:tabs>
        <w:tab w:val="clear" w:pos="4536"/>
        <w:tab w:val="clear" w:pos="9072"/>
        <w:tab w:val="center" w:pos="3686"/>
        <w:tab w:val="right" w:pos="7371"/>
      </w:tabs>
      <w:jc w:val="left"/>
    </w:pPr>
    <w:rPr>
      <w:sz w:val="18"/>
    </w:rPr>
  </w:style>
  <w:style w:type="paragraph" w:customStyle="1" w:styleId="ECHRFooter">
    <w:name w:val="ECHR_Footer"/>
    <w:aliases w:val="Footer_ECHR"/>
    <w:basedOn w:val="Pidipagina"/>
    <w:uiPriority w:val="57"/>
    <w:semiHidden/>
    <w:rsid w:val="00E03C14"/>
    <w:pPr>
      <w:jc w:val="left"/>
    </w:pPr>
    <w:rPr>
      <w:sz w:val="8"/>
    </w:rPr>
  </w:style>
  <w:style w:type="character" w:styleId="Enfasigrassetto">
    <w:name w:val="Strong"/>
    <w:uiPriority w:val="99"/>
    <w:semiHidden/>
    <w:qFormat/>
    <w:rsid w:val="00E03C14"/>
    <w:rPr>
      <w:b/>
      <w:bCs/>
    </w:rPr>
  </w:style>
  <w:style w:type="paragraph" w:styleId="Nessunaspaziatura">
    <w:name w:val="No Spacing"/>
    <w:basedOn w:val="Normale"/>
    <w:link w:val="NessunaspaziaturaCarattere"/>
    <w:semiHidden/>
    <w:qFormat/>
    <w:rsid w:val="00E03C14"/>
    <w:rPr>
      <w:sz w:val="22"/>
      <w:lang w:val="en-US"/>
    </w:rPr>
  </w:style>
  <w:style w:type="character" w:customStyle="1" w:styleId="NessunaspaziaturaCarattere">
    <w:name w:val="Nessuna spaziatura Carattere"/>
    <w:basedOn w:val="Carpredefinitoparagrafo"/>
    <w:link w:val="Nessunaspaziatura"/>
    <w:semiHidden/>
    <w:rsid w:val="00E03C14"/>
    <w:rPr>
      <w:rFonts w:eastAsiaTheme="minorEastAsia"/>
    </w:rPr>
  </w:style>
  <w:style w:type="paragraph" w:customStyle="1" w:styleId="ECHRFooterLine">
    <w:name w:val="ECHR_Footer_Line"/>
    <w:aliases w:val="Footer_Line"/>
    <w:basedOn w:val="Normale"/>
    <w:next w:val="ECHRFooter"/>
    <w:uiPriority w:val="57"/>
    <w:semiHidden/>
    <w:rsid w:val="00E03C14"/>
    <w:pPr>
      <w:pBdr>
        <w:top w:val="single" w:sz="6" w:space="1" w:color="5F5F5F"/>
      </w:pBdr>
      <w:tabs>
        <w:tab w:val="center" w:pos="4536"/>
        <w:tab w:val="right" w:pos="9696"/>
      </w:tabs>
      <w:ind w:left="-680" w:right="-680"/>
      <w:jc w:val="left"/>
    </w:pPr>
    <w:rPr>
      <w:color w:val="5F5F5F"/>
    </w:rPr>
  </w:style>
  <w:style w:type="paragraph" w:customStyle="1" w:styleId="DecHTitle">
    <w:name w:val="Dec_H_Title"/>
    <w:basedOn w:val="ECHRTitleCentre1"/>
    <w:uiPriority w:val="7"/>
    <w:semiHidden/>
    <w:qFormat/>
    <w:rsid w:val="00E03C14"/>
  </w:style>
  <w:style w:type="paragraph" w:customStyle="1" w:styleId="DecList">
    <w:name w:val="Dec_List"/>
    <w:basedOn w:val="Normale"/>
    <w:uiPriority w:val="9"/>
    <w:semiHidden/>
    <w:qFormat/>
    <w:rsid w:val="00E03C14"/>
    <w:pPr>
      <w:spacing w:before="240"/>
      <w:ind w:left="284"/>
    </w:pPr>
  </w:style>
  <w:style w:type="paragraph" w:customStyle="1" w:styleId="DummyStyle">
    <w:name w:val="Dummy_Style"/>
    <w:basedOn w:val="Normale"/>
    <w:semiHidden/>
    <w:qFormat/>
    <w:rsid w:val="00E03C14"/>
    <w:rPr>
      <w:color w:val="00B050"/>
    </w:rPr>
  </w:style>
  <w:style w:type="paragraph" w:customStyle="1" w:styleId="ECHRTitleCentre3">
    <w:name w:val="ECHR_Title_Centre_3"/>
    <w:aliases w:val="Ju_H_Article"/>
    <w:basedOn w:val="Normale"/>
    <w:next w:val="ECHRParaQuote"/>
    <w:uiPriority w:val="27"/>
    <w:qFormat/>
    <w:rsid w:val="00E03C14"/>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qFormat/>
    <w:rsid w:val="00E03C14"/>
    <w:pPr>
      <w:keepNext/>
      <w:keepLines/>
      <w:spacing w:after="240"/>
      <w:jc w:val="center"/>
      <w:outlineLvl w:val="0"/>
    </w:pPr>
    <w:rPr>
      <w:rFonts w:asciiTheme="majorHAnsi" w:hAnsiTheme="majorHAnsi"/>
      <w:sz w:val="28"/>
    </w:rPr>
  </w:style>
  <w:style w:type="paragraph" w:customStyle="1" w:styleId="JuAppQuestion">
    <w:name w:val="Ju_App_Question"/>
    <w:basedOn w:val="Normale"/>
    <w:uiPriority w:val="5"/>
    <w:semiHidden/>
    <w:qFormat/>
    <w:rsid w:val="00E03C14"/>
    <w:pPr>
      <w:numPr>
        <w:numId w:val="19"/>
      </w:numPr>
      <w:jc w:val="left"/>
    </w:pPr>
    <w:rPr>
      <w:b/>
    </w:rPr>
  </w:style>
  <w:style w:type="paragraph" w:customStyle="1" w:styleId="JuCourt">
    <w:name w:val="Ju_Court"/>
    <w:basedOn w:val="Normale"/>
    <w:next w:val="Normale"/>
    <w:uiPriority w:val="16"/>
    <w:qFormat/>
    <w:rsid w:val="00E03C14"/>
    <w:pPr>
      <w:tabs>
        <w:tab w:val="left" w:pos="907"/>
        <w:tab w:val="left" w:pos="1701"/>
        <w:tab w:val="right" w:pos="7371"/>
      </w:tabs>
      <w:spacing w:before="240"/>
      <w:ind w:left="397" w:hanging="397"/>
      <w:jc w:val="left"/>
    </w:pPr>
    <w:rPr>
      <w:lang w:bidi="en-US"/>
    </w:rPr>
  </w:style>
  <w:style w:type="paragraph" w:customStyle="1" w:styleId="JuHeaderLandscape">
    <w:name w:val="Ju_Header_Landscape"/>
    <w:basedOn w:val="ECHRHeader"/>
    <w:uiPriority w:val="4"/>
    <w:qFormat/>
    <w:rsid w:val="00E03C14"/>
    <w:pPr>
      <w:tabs>
        <w:tab w:val="clear" w:pos="3686"/>
        <w:tab w:val="clear" w:pos="7371"/>
        <w:tab w:val="center" w:pos="6146"/>
        <w:tab w:val="right" w:pos="12293"/>
      </w:tabs>
    </w:pPr>
  </w:style>
  <w:style w:type="paragraph" w:customStyle="1" w:styleId="ECHRTitleCentre2">
    <w:name w:val="ECHR_Title_Centre_2"/>
    <w:aliases w:val="Dec_H_Case"/>
    <w:basedOn w:val="Normale"/>
    <w:next w:val="ECHRPara"/>
    <w:uiPriority w:val="8"/>
    <w:qFormat/>
    <w:rsid w:val="00E03C14"/>
    <w:pPr>
      <w:spacing w:after="240"/>
      <w:jc w:val="center"/>
      <w:outlineLvl w:val="0"/>
    </w:pPr>
    <w:rPr>
      <w:rFonts w:asciiTheme="majorHAnsi" w:hAnsiTheme="majorHAnsi"/>
    </w:rPr>
  </w:style>
  <w:style w:type="paragraph" w:customStyle="1" w:styleId="JuInitialled">
    <w:name w:val="Ju_Initialled"/>
    <w:basedOn w:val="Normale"/>
    <w:uiPriority w:val="31"/>
    <w:qFormat/>
    <w:rsid w:val="00E03C14"/>
    <w:pPr>
      <w:tabs>
        <w:tab w:val="center" w:pos="6407"/>
      </w:tabs>
      <w:spacing w:before="720"/>
      <w:jc w:val="right"/>
    </w:pPr>
  </w:style>
  <w:style w:type="paragraph" w:styleId="Titolo">
    <w:name w:val="Title"/>
    <w:basedOn w:val="Normale"/>
    <w:next w:val="Normale"/>
    <w:link w:val="TitoloCarattere"/>
    <w:uiPriority w:val="99"/>
    <w:semiHidden/>
    <w:qFormat/>
    <w:rsid w:val="00E03C14"/>
    <w:pPr>
      <w:pBdr>
        <w:bottom w:val="single" w:sz="4" w:space="1" w:color="auto"/>
      </w:pBdr>
      <w:contextualSpacing/>
    </w:pPr>
    <w:rPr>
      <w:rFonts w:asciiTheme="majorHAnsi" w:eastAsiaTheme="majorEastAsia" w:hAnsiTheme="majorHAnsi" w:cstheme="majorBidi"/>
      <w:spacing w:val="5"/>
      <w:sz w:val="52"/>
      <w:szCs w:val="52"/>
      <w:lang w:val="en-US" w:bidi="en-US"/>
    </w:rPr>
  </w:style>
  <w:style w:type="character" w:customStyle="1" w:styleId="TitoloCarattere">
    <w:name w:val="Titolo Carattere"/>
    <w:basedOn w:val="Carpredefinitoparagrafo"/>
    <w:link w:val="Titolo"/>
    <w:uiPriority w:val="99"/>
    <w:semiHidden/>
    <w:rsid w:val="00E03C14"/>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Titolo3"/>
    <w:next w:val="ECHRPara"/>
    <w:uiPriority w:val="21"/>
    <w:qFormat/>
    <w:rsid w:val="00E03C14"/>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Titolo4"/>
    <w:next w:val="ECHRPara"/>
    <w:uiPriority w:val="22"/>
    <w:qFormat/>
    <w:rsid w:val="00E03C14"/>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Titolo5"/>
    <w:next w:val="ECHRPara"/>
    <w:uiPriority w:val="23"/>
    <w:qFormat/>
    <w:rsid w:val="00E03C14"/>
    <w:pPr>
      <w:keepNext/>
      <w:keepLines/>
      <w:tabs>
        <w:tab w:val="left" w:pos="1191"/>
      </w:tabs>
      <w:spacing w:before="240" w:after="120"/>
      <w:ind w:left="1190" w:hanging="357"/>
    </w:pPr>
    <w:rPr>
      <w:b w:val="0"/>
      <w:i/>
      <w:color w:val="auto"/>
      <w:sz w:val="20"/>
      <w:lang w:val="en-GB"/>
    </w:rPr>
  </w:style>
  <w:style w:type="paragraph" w:customStyle="1" w:styleId="ECHRHeading6">
    <w:name w:val="ECHR_Heading_6"/>
    <w:aliases w:val="Ju_H_alpha"/>
    <w:basedOn w:val="Titolo6"/>
    <w:next w:val="ECHRPara"/>
    <w:uiPriority w:val="24"/>
    <w:qFormat/>
    <w:rsid w:val="00E03C14"/>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Titolo7"/>
    <w:next w:val="ECHRPara"/>
    <w:uiPriority w:val="25"/>
    <w:qFormat/>
    <w:rsid w:val="00E03C14"/>
    <w:pPr>
      <w:keepNext/>
      <w:keepLines/>
      <w:spacing w:before="240" w:after="120"/>
      <w:ind w:left="1236"/>
    </w:pPr>
    <w:rPr>
      <w:sz w:val="20"/>
      <w:lang w:val="en-GB"/>
    </w:rPr>
  </w:style>
  <w:style w:type="paragraph" w:customStyle="1" w:styleId="JuQuotSub">
    <w:name w:val="Ju_Quot_Sub"/>
    <w:basedOn w:val="ECHRParaQuote"/>
    <w:uiPriority w:val="15"/>
    <w:qFormat/>
    <w:rsid w:val="00E03C14"/>
    <w:pPr>
      <w:ind w:left="567"/>
    </w:pPr>
  </w:style>
  <w:style w:type="paragraph" w:customStyle="1" w:styleId="JuListi">
    <w:name w:val="Ju_List_i"/>
    <w:basedOn w:val="Normale"/>
    <w:next w:val="JuLista"/>
    <w:uiPriority w:val="28"/>
    <w:qFormat/>
    <w:rsid w:val="00E03C14"/>
    <w:pPr>
      <w:ind w:left="794"/>
    </w:pPr>
  </w:style>
  <w:style w:type="character" w:customStyle="1" w:styleId="JUNAMES">
    <w:name w:val="JU_NAMES"/>
    <w:uiPriority w:val="17"/>
    <w:qFormat/>
    <w:rsid w:val="00E03C14"/>
    <w:rPr>
      <w:caps w:val="0"/>
      <w:smallCaps/>
    </w:rPr>
  </w:style>
  <w:style w:type="paragraph" w:styleId="Intestazione">
    <w:name w:val="header"/>
    <w:basedOn w:val="Normale"/>
    <w:link w:val="IntestazioneCarattere"/>
    <w:uiPriority w:val="57"/>
    <w:semiHidden/>
    <w:rsid w:val="00E03C14"/>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E03C14"/>
    <w:rPr>
      <w:sz w:val="24"/>
      <w:lang w:val="en-GB"/>
    </w:rPr>
  </w:style>
  <w:style w:type="character" w:customStyle="1" w:styleId="Titolo1Carattere">
    <w:name w:val="Titolo 1 Carattere"/>
    <w:basedOn w:val="Carpredefinitoparagrafo"/>
    <w:link w:val="Titolo1"/>
    <w:uiPriority w:val="99"/>
    <w:semiHidden/>
    <w:rsid w:val="00E03C14"/>
    <w:rPr>
      <w:rFonts w:asciiTheme="majorHAnsi" w:eastAsiaTheme="majorEastAsia" w:hAnsiTheme="majorHAnsi" w:cstheme="majorBidi"/>
      <w:b/>
      <w:bCs/>
      <w:color w:val="333333"/>
      <w:sz w:val="28"/>
      <w:szCs w:val="28"/>
      <w:lang w:val="en-GB"/>
    </w:rPr>
  </w:style>
  <w:style w:type="paragraph" w:customStyle="1" w:styleId="ECHRHeading1">
    <w:name w:val="ECHR_Heading_1"/>
    <w:aliases w:val="Ju_H_I_Roman"/>
    <w:basedOn w:val="Titolo1"/>
    <w:next w:val="ECHRPara"/>
    <w:uiPriority w:val="19"/>
    <w:qFormat/>
    <w:rsid w:val="00E03C14"/>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Titolo2"/>
    <w:next w:val="ECHRPara"/>
    <w:uiPriority w:val="20"/>
    <w:qFormat/>
    <w:rsid w:val="00E03C14"/>
    <w:pPr>
      <w:keepNext/>
      <w:keepLines/>
      <w:tabs>
        <w:tab w:val="left" w:pos="584"/>
      </w:tabs>
      <w:spacing w:before="360" w:after="240"/>
      <w:ind w:left="584" w:hanging="352"/>
    </w:pPr>
    <w:rPr>
      <w:color w:val="auto"/>
      <w:sz w:val="24"/>
    </w:rPr>
  </w:style>
  <w:style w:type="character" w:customStyle="1" w:styleId="Titolo2Carattere">
    <w:name w:val="Titolo 2 Carattere"/>
    <w:basedOn w:val="Carpredefinitoparagrafo"/>
    <w:link w:val="Titolo2"/>
    <w:uiPriority w:val="99"/>
    <w:semiHidden/>
    <w:rsid w:val="00E03C14"/>
    <w:rPr>
      <w:rFonts w:asciiTheme="majorHAnsi" w:eastAsiaTheme="majorEastAsia" w:hAnsiTheme="majorHAnsi" w:cstheme="majorBidi"/>
      <w:b/>
      <w:bCs/>
      <w:color w:val="4D4D4D"/>
      <w:sz w:val="26"/>
      <w:szCs w:val="26"/>
      <w:lang w:val="en-GB"/>
    </w:rPr>
  </w:style>
  <w:style w:type="paragraph" w:customStyle="1" w:styleId="JuParaSub">
    <w:name w:val="Ju_Para_Sub"/>
    <w:basedOn w:val="ECHRPara"/>
    <w:uiPriority w:val="13"/>
    <w:qFormat/>
    <w:rsid w:val="00E03C14"/>
    <w:pPr>
      <w:ind w:left="284"/>
    </w:pPr>
  </w:style>
  <w:style w:type="paragraph" w:customStyle="1" w:styleId="ECHRDecisionBody">
    <w:name w:val="ECHR_Decision_Body"/>
    <w:aliases w:val="Ju_Judges"/>
    <w:basedOn w:val="Normale"/>
    <w:uiPriority w:val="11"/>
    <w:qFormat/>
    <w:rsid w:val="00E03C14"/>
    <w:pPr>
      <w:tabs>
        <w:tab w:val="left" w:pos="567"/>
        <w:tab w:val="left" w:pos="1134"/>
      </w:tabs>
      <w:jc w:val="left"/>
    </w:pPr>
  </w:style>
  <w:style w:type="character" w:customStyle="1" w:styleId="Titolo3Carattere">
    <w:name w:val="Titolo 3 Carattere"/>
    <w:basedOn w:val="Carpredefinitoparagrafo"/>
    <w:link w:val="Titolo3"/>
    <w:uiPriority w:val="99"/>
    <w:semiHidden/>
    <w:rsid w:val="00E03C14"/>
    <w:rPr>
      <w:rFonts w:asciiTheme="majorHAnsi" w:eastAsiaTheme="majorEastAsia" w:hAnsiTheme="majorHAnsi" w:cstheme="majorBidi"/>
      <w:b/>
      <w:bCs/>
      <w:color w:val="5F5F5F"/>
      <w:sz w:val="24"/>
      <w:lang w:val="en-GB"/>
    </w:rPr>
  </w:style>
  <w:style w:type="paragraph" w:customStyle="1" w:styleId="ECHRPara">
    <w:name w:val="ECHR_Para"/>
    <w:aliases w:val="Ju_Para"/>
    <w:basedOn w:val="Normale"/>
    <w:link w:val="ECHRParaChar"/>
    <w:uiPriority w:val="12"/>
    <w:qFormat/>
    <w:rsid w:val="00E03C14"/>
    <w:pPr>
      <w:ind w:firstLine="284"/>
    </w:pPr>
  </w:style>
  <w:style w:type="character" w:customStyle="1" w:styleId="Titolo4Carattere">
    <w:name w:val="Titolo 4 Carattere"/>
    <w:basedOn w:val="Carpredefinitoparagrafo"/>
    <w:link w:val="Titolo4"/>
    <w:uiPriority w:val="99"/>
    <w:semiHidden/>
    <w:rsid w:val="00E03C14"/>
    <w:rPr>
      <w:rFonts w:asciiTheme="majorHAnsi" w:eastAsiaTheme="majorEastAsia" w:hAnsiTheme="majorHAnsi" w:cstheme="majorBidi"/>
      <w:b/>
      <w:bCs/>
      <w:i/>
      <w:iCs/>
      <w:color w:val="777777"/>
      <w:sz w:val="24"/>
      <w:lang w:val="en-GB"/>
    </w:rPr>
  </w:style>
  <w:style w:type="character" w:customStyle="1" w:styleId="Titolo5Carattere">
    <w:name w:val="Titolo 5 Carattere"/>
    <w:basedOn w:val="Carpredefinitoparagrafo"/>
    <w:link w:val="Titolo5"/>
    <w:uiPriority w:val="99"/>
    <w:semiHidden/>
    <w:rsid w:val="00E03C14"/>
    <w:rPr>
      <w:rFonts w:asciiTheme="majorHAnsi" w:eastAsiaTheme="majorEastAsia" w:hAnsiTheme="majorHAnsi" w:cstheme="majorBidi"/>
      <w:b/>
      <w:bCs/>
      <w:color w:val="808080"/>
    </w:rPr>
  </w:style>
  <w:style w:type="character" w:styleId="Enfasidelicata">
    <w:name w:val="Subtle Emphasis"/>
    <w:uiPriority w:val="99"/>
    <w:semiHidden/>
    <w:qFormat/>
    <w:rsid w:val="00E03C14"/>
    <w:rPr>
      <w:i/>
      <w:iCs/>
    </w:r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e"/>
    <w:next w:val="ECHRPara"/>
    <w:uiPriority w:val="18"/>
    <w:qFormat/>
    <w:rsid w:val="00E03C14"/>
    <w:pPr>
      <w:keepNext/>
      <w:keepLines/>
      <w:spacing w:before="720" w:after="240"/>
      <w:outlineLvl w:val="0"/>
    </w:pPr>
    <w:rPr>
      <w:rFonts w:asciiTheme="majorHAnsi" w:hAnsiTheme="majorHAnsi"/>
      <w:sz w:val="28"/>
    </w:rPr>
  </w:style>
  <w:style w:type="character" w:styleId="Enfasicorsivo">
    <w:name w:val="Emphasis"/>
    <w:uiPriority w:val="99"/>
    <w:semiHidden/>
    <w:qFormat/>
    <w:rsid w:val="00E03C14"/>
    <w:rPr>
      <w:b/>
      <w:bCs/>
      <w:i/>
      <w:iCs/>
      <w:spacing w:val="10"/>
      <w:bdr w:val="none" w:sz="0" w:space="0" w:color="auto"/>
      <w:shd w:val="clear" w:color="auto" w:fill="auto"/>
    </w:rPr>
  </w:style>
  <w:style w:type="paragraph" w:styleId="Pidipagina">
    <w:name w:val="footer"/>
    <w:basedOn w:val="Normale"/>
    <w:link w:val="PidipaginaCarattere"/>
    <w:uiPriority w:val="57"/>
    <w:semiHidden/>
    <w:rsid w:val="00E03C14"/>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E03C14"/>
    <w:rPr>
      <w:sz w:val="24"/>
      <w:lang w:val="en-GB"/>
    </w:rPr>
  </w:style>
  <w:style w:type="character" w:styleId="Rimandonotaapidipagina">
    <w:name w:val="footnote reference"/>
    <w:basedOn w:val="Carpredefinitoparagrafo"/>
    <w:uiPriority w:val="99"/>
    <w:semiHidden/>
    <w:rsid w:val="00E03C14"/>
    <w:rPr>
      <w:vertAlign w:val="superscript"/>
    </w:rPr>
  </w:style>
  <w:style w:type="paragraph" w:styleId="Testonotaapidipagina">
    <w:name w:val="footnote text"/>
    <w:basedOn w:val="Normale"/>
    <w:link w:val="TestonotaapidipaginaCarattere"/>
    <w:uiPriority w:val="99"/>
    <w:semiHidden/>
    <w:rsid w:val="00E03C14"/>
    <w:rPr>
      <w:sz w:val="20"/>
      <w:szCs w:val="20"/>
    </w:rPr>
  </w:style>
  <w:style w:type="character" w:customStyle="1" w:styleId="TestonotaapidipaginaCarattere">
    <w:name w:val="Testo nota a piè di pagina Carattere"/>
    <w:basedOn w:val="Carpredefinitoparagrafo"/>
    <w:link w:val="Testonotaapidipagina"/>
    <w:uiPriority w:val="99"/>
    <w:semiHidden/>
    <w:rsid w:val="00E03C14"/>
    <w:rPr>
      <w:rFonts w:eastAsiaTheme="minorEastAsia"/>
      <w:sz w:val="20"/>
      <w:szCs w:val="20"/>
      <w:lang w:val="en-GB"/>
    </w:rPr>
  </w:style>
  <w:style w:type="character" w:customStyle="1" w:styleId="Titolo6Carattere">
    <w:name w:val="Titolo 6 Carattere"/>
    <w:basedOn w:val="Carpredefinitoparagrafo"/>
    <w:link w:val="Titolo6"/>
    <w:uiPriority w:val="99"/>
    <w:semiHidden/>
    <w:rsid w:val="00E03C14"/>
    <w:rPr>
      <w:rFonts w:asciiTheme="majorHAnsi" w:eastAsiaTheme="majorEastAsia" w:hAnsiTheme="majorHAnsi" w:cstheme="majorBidi"/>
      <w:b/>
      <w:bCs/>
      <w:i/>
      <w:iCs/>
      <w:color w:val="7F7F7F" w:themeColor="text1" w:themeTint="80"/>
      <w:sz w:val="24"/>
      <w:lang w:val="en-GB" w:bidi="en-US"/>
    </w:rPr>
  </w:style>
  <w:style w:type="character" w:customStyle="1" w:styleId="Titolo7Carattere">
    <w:name w:val="Titolo 7 Carattere"/>
    <w:basedOn w:val="Carpredefinitoparagrafo"/>
    <w:link w:val="Titolo7"/>
    <w:uiPriority w:val="99"/>
    <w:semiHidden/>
    <w:rsid w:val="00E03C14"/>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E03C14"/>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E03C14"/>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E03C14"/>
    <w:rPr>
      <w:color w:val="0072BC" w:themeColor="hyperlink"/>
      <w:u w:val="single"/>
    </w:rPr>
  </w:style>
  <w:style w:type="character" w:styleId="Enfasiintensa">
    <w:name w:val="Intense Emphasis"/>
    <w:uiPriority w:val="99"/>
    <w:semiHidden/>
    <w:qFormat/>
    <w:rsid w:val="00E03C14"/>
    <w:rPr>
      <w:b/>
      <w:bCs/>
    </w:rPr>
  </w:style>
  <w:style w:type="paragraph" w:styleId="Citazioneintensa">
    <w:name w:val="Intense Quote"/>
    <w:basedOn w:val="Normale"/>
    <w:next w:val="Normale"/>
    <w:link w:val="CitazioneintensaCarattere"/>
    <w:uiPriority w:val="99"/>
    <w:semiHidden/>
    <w:qFormat/>
    <w:rsid w:val="00E03C14"/>
    <w:pPr>
      <w:pBdr>
        <w:bottom w:val="single" w:sz="4" w:space="1" w:color="auto"/>
      </w:pBdr>
      <w:spacing w:before="200" w:after="280"/>
      <w:ind w:left="1008" w:right="1152"/>
    </w:pPr>
    <w:rPr>
      <w:b/>
      <w:bCs/>
      <w:i/>
      <w:iCs/>
      <w:sz w:val="22"/>
      <w:lang w:val="en-US" w:bidi="en-US"/>
    </w:rPr>
  </w:style>
  <w:style w:type="character" w:customStyle="1" w:styleId="CitazioneintensaCarattere">
    <w:name w:val="Citazione intensa Carattere"/>
    <w:basedOn w:val="Carpredefinitoparagrafo"/>
    <w:link w:val="Citazioneintensa"/>
    <w:uiPriority w:val="99"/>
    <w:semiHidden/>
    <w:rsid w:val="00E03C14"/>
    <w:rPr>
      <w:rFonts w:eastAsiaTheme="minorEastAsia"/>
      <w:b/>
      <w:bCs/>
      <w:i/>
      <w:iCs/>
      <w:lang w:bidi="en-US"/>
    </w:rPr>
  </w:style>
  <w:style w:type="character" w:styleId="Riferimentointenso">
    <w:name w:val="Intense Reference"/>
    <w:uiPriority w:val="99"/>
    <w:semiHidden/>
    <w:qFormat/>
    <w:rsid w:val="00E03C14"/>
    <w:rPr>
      <w:smallCaps/>
      <w:spacing w:val="5"/>
      <w:u w:val="single"/>
    </w:rPr>
  </w:style>
  <w:style w:type="paragraph" w:styleId="Paragrafoelenco">
    <w:name w:val="List Paragraph"/>
    <w:basedOn w:val="Normale"/>
    <w:uiPriority w:val="99"/>
    <w:semiHidden/>
    <w:qFormat/>
    <w:rsid w:val="00E03C14"/>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E03C14"/>
    <w:pPr>
      <w:spacing w:before="200"/>
      <w:ind w:left="360" w:right="360"/>
    </w:pPr>
    <w:rPr>
      <w:i/>
      <w:iCs/>
      <w:sz w:val="22"/>
      <w:lang w:val="en-US" w:bidi="en-US"/>
    </w:rPr>
  </w:style>
  <w:style w:type="character" w:customStyle="1" w:styleId="CitazioneCarattere">
    <w:name w:val="Citazione Carattere"/>
    <w:basedOn w:val="Carpredefinitoparagrafo"/>
    <w:link w:val="Citazione"/>
    <w:uiPriority w:val="99"/>
    <w:semiHidden/>
    <w:rsid w:val="00E03C14"/>
    <w:rPr>
      <w:rFonts w:eastAsiaTheme="minorEastAsia"/>
      <w:i/>
      <w:iCs/>
      <w:lang w:bidi="en-US"/>
    </w:rPr>
  </w:style>
  <w:style w:type="character" w:styleId="Riferimentodelicato">
    <w:name w:val="Subtle Reference"/>
    <w:uiPriority w:val="99"/>
    <w:semiHidden/>
    <w:qFormat/>
    <w:rsid w:val="00E03C14"/>
    <w:rPr>
      <w:smallCaps/>
    </w:rPr>
  </w:style>
  <w:style w:type="table" w:styleId="Grigliatabella">
    <w:name w:val="Table Grid"/>
    <w:basedOn w:val="Tabellanormale"/>
    <w:uiPriority w:val="59"/>
    <w:semiHidden/>
    <w:rsid w:val="00E03C1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E03C14"/>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E03C14"/>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E03C14"/>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E03C14"/>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E03C14"/>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9"/>
    <w:semiHidden/>
    <w:qFormat/>
    <w:rsid w:val="00E03C14"/>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E03C14"/>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ECHRParaQuote">
    <w:name w:val="ECHR_Para_Quote"/>
    <w:aliases w:val="Ju_Quot"/>
    <w:basedOn w:val="Normale"/>
    <w:uiPriority w:val="14"/>
    <w:qFormat/>
    <w:rsid w:val="00E03C14"/>
    <w:pPr>
      <w:spacing w:before="120" w:after="120"/>
      <w:ind w:left="425" w:firstLine="142"/>
    </w:pPr>
    <w:rPr>
      <w:sz w:val="20"/>
    </w:rPr>
  </w:style>
  <w:style w:type="table" w:customStyle="1" w:styleId="ECHRTableSimpleBox">
    <w:name w:val="ECHR_Table_Simple_Box"/>
    <w:basedOn w:val="Tabellanormale"/>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E03C14"/>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ECHRHeaderTableReduced">
    <w:name w:val="ECHR_Header_Table_Reduced"/>
    <w:basedOn w:val="Tabellanormale"/>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Signed">
    <w:name w:val="Ju_Signed"/>
    <w:basedOn w:val="Normale"/>
    <w:next w:val="JuParaLast"/>
    <w:uiPriority w:val="32"/>
    <w:qFormat/>
    <w:rsid w:val="00E03C14"/>
    <w:pPr>
      <w:tabs>
        <w:tab w:val="center" w:pos="851"/>
        <w:tab w:val="center" w:pos="6407"/>
      </w:tabs>
      <w:spacing w:before="720"/>
      <w:jc w:val="left"/>
    </w:pPr>
  </w:style>
  <w:style w:type="paragraph" w:customStyle="1" w:styleId="JuParaLast">
    <w:name w:val="Ju_Para_Last"/>
    <w:basedOn w:val="Normale"/>
    <w:next w:val="ECHRPara"/>
    <w:uiPriority w:val="30"/>
    <w:qFormat/>
    <w:rsid w:val="00E03C14"/>
    <w:pPr>
      <w:keepNext/>
      <w:keepLines/>
      <w:spacing w:before="240"/>
      <w:ind w:firstLine="284"/>
    </w:pPr>
  </w:style>
  <w:style w:type="paragraph" w:customStyle="1" w:styleId="JuCase">
    <w:name w:val="Ju_Case"/>
    <w:basedOn w:val="Normale"/>
    <w:next w:val="ECHRPara"/>
    <w:uiPriority w:val="10"/>
    <w:rsid w:val="00E03C14"/>
    <w:pPr>
      <w:ind w:firstLine="284"/>
    </w:pPr>
    <w:rPr>
      <w:b/>
    </w:rPr>
  </w:style>
  <w:style w:type="paragraph" w:customStyle="1" w:styleId="JuList">
    <w:name w:val="Ju_List"/>
    <w:basedOn w:val="Normale"/>
    <w:uiPriority w:val="28"/>
    <w:qFormat/>
    <w:rsid w:val="00E03C14"/>
    <w:pPr>
      <w:ind w:left="340" w:hanging="340"/>
    </w:pPr>
  </w:style>
  <w:style w:type="paragraph" w:customStyle="1" w:styleId="JuTitle">
    <w:name w:val="Ju_Title"/>
    <w:basedOn w:val="Normale"/>
    <w:next w:val="ECHRPara"/>
    <w:uiPriority w:val="3"/>
    <w:semiHidden/>
    <w:qFormat/>
    <w:rsid w:val="00E03C14"/>
    <w:pPr>
      <w:spacing w:before="720" w:after="240"/>
      <w:jc w:val="center"/>
      <w:outlineLvl w:val="0"/>
    </w:pPr>
    <w:rPr>
      <w:rFonts w:asciiTheme="majorHAnsi" w:hAnsiTheme="majorHAnsi"/>
      <w:b/>
      <w:caps/>
    </w:rPr>
  </w:style>
  <w:style w:type="character" w:styleId="Numeropagina">
    <w:name w:val="page number"/>
    <w:uiPriority w:val="99"/>
    <w:semiHidden/>
    <w:rsid w:val="00E77CB3"/>
    <w:rPr>
      <w:rFonts w:ascii="Times New Roman" w:hAnsi="Times New Roman" w:cs="Times New Roman"/>
      <w:sz w:val="18"/>
    </w:rPr>
  </w:style>
  <w:style w:type="paragraph" w:customStyle="1" w:styleId="JuLista">
    <w:name w:val="Ju_List_a"/>
    <w:basedOn w:val="JuList"/>
    <w:uiPriority w:val="28"/>
    <w:qFormat/>
    <w:rsid w:val="00E03C14"/>
    <w:pPr>
      <w:ind w:left="346" w:firstLine="0"/>
    </w:pPr>
  </w:style>
  <w:style w:type="paragraph" w:customStyle="1" w:styleId="OpiH1">
    <w:name w:val="Opi_H_1"/>
    <w:basedOn w:val="ECHRHeading2"/>
    <w:uiPriority w:val="42"/>
    <w:qFormat/>
    <w:rsid w:val="00E03C14"/>
    <w:pPr>
      <w:ind w:left="635" w:hanging="357"/>
      <w:outlineLvl w:val="2"/>
    </w:pPr>
  </w:style>
  <w:style w:type="character" w:styleId="Rimandocommento">
    <w:name w:val="annotation reference"/>
    <w:uiPriority w:val="99"/>
    <w:semiHidden/>
    <w:rsid w:val="00E77CB3"/>
    <w:rPr>
      <w:sz w:val="16"/>
    </w:rPr>
  </w:style>
  <w:style w:type="paragraph" w:styleId="Testocommento">
    <w:name w:val="annotation text"/>
    <w:basedOn w:val="Normale"/>
    <w:link w:val="TestocommentoCarattere"/>
    <w:uiPriority w:val="99"/>
    <w:semiHidden/>
    <w:rsid w:val="00E77CB3"/>
    <w:rPr>
      <w:sz w:val="20"/>
    </w:rPr>
  </w:style>
  <w:style w:type="character" w:customStyle="1" w:styleId="TestocommentoCarattere">
    <w:name w:val="Testo commento Carattere"/>
    <w:basedOn w:val="Carpredefinitoparagrafo"/>
    <w:link w:val="Testocommento"/>
    <w:uiPriority w:val="99"/>
    <w:semiHidden/>
    <w:rsid w:val="00E77CB3"/>
    <w:rPr>
      <w:rFonts w:eastAsiaTheme="minorEastAsia"/>
      <w:sz w:val="20"/>
    </w:rPr>
  </w:style>
  <w:style w:type="character" w:styleId="Rimandonotadichiusura">
    <w:name w:val="endnote reference"/>
    <w:basedOn w:val="Carpredefinitoparagrafo"/>
    <w:uiPriority w:val="99"/>
    <w:semiHidden/>
    <w:rsid w:val="00E03C14"/>
    <w:rPr>
      <w:vertAlign w:val="superscript"/>
    </w:rPr>
  </w:style>
  <w:style w:type="paragraph" w:styleId="Testonotadichiusura">
    <w:name w:val="endnote text"/>
    <w:basedOn w:val="Normale"/>
    <w:link w:val="TestonotadichiusuraCarattere"/>
    <w:uiPriority w:val="99"/>
    <w:semiHidden/>
    <w:rsid w:val="00E03C14"/>
    <w:rPr>
      <w:sz w:val="20"/>
      <w:szCs w:val="20"/>
    </w:rPr>
  </w:style>
  <w:style w:type="character" w:customStyle="1" w:styleId="TestonotadichiusuraCarattere">
    <w:name w:val="Testo nota di chiusura Carattere"/>
    <w:basedOn w:val="Carpredefinitoparagrafo"/>
    <w:link w:val="Testonotadichiusura"/>
    <w:uiPriority w:val="99"/>
    <w:semiHidden/>
    <w:rsid w:val="00E03C14"/>
    <w:rPr>
      <w:rFonts w:eastAsiaTheme="minorEastAsia"/>
      <w:sz w:val="20"/>
      <w:szCs w:val="20"/>
      <w:lang w:val="en-GB"/>
    </w:rPr>
  </w:style>
  <w:style w:type="character" w:styleId="Collegamentovisitato">
    <w:name w:val="FollowedHyperlink"/>
    <w:uiPriority w:val="99"/>
    <w:semiHidden/>
    <w:rsid w:val="00E77CB3"/>
    <w:rPr>
      <w:rFonts w:ascii="Times New Roman" w:hAnsi="Times New Roman" w:cs="Times New Roman"/>
      <w:color w:val="800080"/>
      <w:u w:val="single"/>
    </w:rPr>
  </w:style>
  <w:style w:type="paragraph" w:styleId="Puntoelenco">
    <w:name w:val="List Bullet"/>
    <w:basedOn w:val="Normale"/>
    <w:uiPriority w:val="99"/>
    <w:semiHidden/>
    <w:rsid w:val="00E77CB3"/>
    <w:pPr>
      <w:numPr>
        <w:numId w:val="1"/>
      </w:numPr>
    </w:pPr>
  </w:style>
  <w:style w:type="paragraph" w:customStyle="1" w:styleId="OpiHa">
    <w:name w:val="Opi_H_a"/>
    <w:basedOn w:val="ECHRHeading3"/>
    <w:uiPriority w:val="43"/>
    <w:qFormat/>
    <w:rsid w:val="00E03C14"/>
    <w:pPr>
      <w:ind w:left="833" w:hanging="357"/>
      <w:outlineLvl w:val="3"/>
    </w:pPr>
    <w:rPr>
      <w:b/>
      <w:i w:val="0"/>
      <w:sz w:val="20"/>
    </w:rPr>
  </w:style>
  <w:style w:type="paragraph" w:styleId="Soggettocommento">
    <w:name w:val="annotation subject"/>
    <w:basedOn w:val="Testocommento"/>
    <w:next w:val="Testocommento"/>
    <w:link w:val="SoggettocommentoCarattere"/>
    <w:uiPriority w:val="99"/>
    <w:semiHidden/>
    <w:rsid w:val="00E77CB3"/>
    <w:rPr>
      <w:b/>
      <w:bCs/>
    </w:rPr>
  </w:style>
  <w:style w:type="character" w:customStyle="1" w:styleId="SoggettocommentoCarattere">
    <w:name w:val="Soggetto commento Carattere"/>
    <w:basedOn w:val="TestocommentoCarattere"/>
    <w:link w:val="Soggettocommento"/>
    <w:uiPriority w:val="99"/>
    <w:semiHidden/>
    <w:rsid w:val="00E77CB3"/>
    <w:rPr>
      <w:rFonts w:eastAsiaTheme="minorEastAsia"/>
      <w:b/>
      <w:bCs/>
      <w:sz w:val="20"/>
    </w:rPr>
  </w:style>
  <w:style w:type="paragraph" w:styleId="Mappadocumento">
    <w:name w:val="Document Map"/>
    <w:basedOn w:val="Normale"/>
    <w:link w:val="MappadocumentoCarattere"/>
    <w:uiPriority w:val="99"/>
    <w:semiHidden/>
    <w:rsid w:val="00E77CB3"/>
    <w:pPr>
      <w:shd w:val="clear" w:color="auto" w:fill="000080"/>
    </w:pPr>
    <w:rPr>
      <w:rFonts w:ascii="Tahoma" w:hAnsi="Tahoma" w:cs="Tahoma"/>
      <w:sz w:val="20"/>
    </w:rPr>
  </w:style>
  <w:style w:type="character" w:customStyle="1" w:styleId="MappadocumentoCarattere">
    <w:name w:val="Mappa documento Carattere"/>
    <w:basedOn w:val="Carpredefinitoparagrafo"/>
    <w:link w:val="Mappadocumento"/>
    <w:uiPriority w:val="99"/>
    <w:semiHidden/>
    <w:rsid w:val="00E77CB3"/>
    <w:rPr>
      <w:rFonts w:ascii="Tahoma" w:eastAsiaTheme="minorEastAsia" w:hAnsi="Tahoma" w:cs="Tahoma"/>
      <w:sz w:val="20"/>
      <w:shd w:val="clear" w:color="auto" w:fill="000080"/>
    </w:rPr>
  </w:style>
  <w:style w:type="character" w:customStyle="1" w:styleId="JuITMark">
    <w:name w:val="Ju_ITMark"/>
    <w:basedOn w:val="Carpredefinitoparagrafo"/>
    <w:uiPriority w:val="38"/>
    <w:qFormat/>
    <w:rsid w:val="00E03C14"/>
    <w:rPr>
      <w:vanish w:val="0"/>
      <w:color w:val="auto"/>
      <w:sz w:val="14"/>
      <w:bdr w:val="none" w:sz="0" w:space="0" w:color="auto"/>
      <w:shd w:val="clear" w:color="auto" w:fill="BEE5FF" w:themeFill="background1" w:themeFillTint="33"/>
    </w:rPr>
  </w:style>
  <w:style w:type="paragraph" w:styleId="Sottotitolo">
    <w:name w:val="Subtitle"/>
    <w:basedOn w:val="Normale"/>
    <w:next w:val="Normale"/>
    <w:link w:val="SottotitoloCarattere"/>
    <w:uiPriority w:val="99"/>
    <w:semiHidden/>
    <w:qFormat/>
    <w:rsid w:val="00E03C14"/>
    <w:pPr>
      <w:spacing w:after="600"/>
    </w:pPr>
    <w:rPr>
      <w:rFonts w:asciiTheme="majorHAnsi" w:eastAsiaTheme="majorEastAsia" w:hAnsiTheme="majorHAnsi" w:cstheme="majorBidi"/>
      <w:i/>
      <w:iCs/>
      <w:spacing w:val="13"/>
      <w:szCs w:val="24"/>
      <w:lang w:val="en-US" w:bidi="en-US"/>
    </w:rPr>
  </w:style>
  <w:style w:type="character" w:customStyle="1" w:styleId="SottotitoloCarattere">
    <w:name w:val="Sottotitolo Carattere"/>
    <w:basedOn w:val="Carpredefinitoparagrafo"/>
    <w:link w:val="Sottotitolo"/>
    <w:uiPriority w:val="99"/>
    <w:semiHidden/>
    <w:rsid w:val="00E03C14"/>
    <w:rPr>
      <w:rFonts w:asciiTheme="majorHAnsi" w:eastAsiaTheme="majorEastAsia" w:hAnsiTheme="majorHAnsi" w:cstheme="majorBidi"/>
      <w:i/>
      <w:iCs/>
      <w:spacing w:val="13"/>
      <w:sz w:val="24"/>
      <w:szCs w:val="24"/>
      <w:lang w:bidi="en-US"/>
    </w:rPr>
  </w:style>
  <w:style w:type="numbering" w:styleId="111111">
    <w:name w:val="Outline List 2"/>
    <w:basedOn w:val="Nessunelenco"/>
    <w:uiPriority w:val="99"/>
    <w:semiHidden/>
    <w:rsid w:val="00E77CB3"/>
    <w:pPr>
      <w:numPr>
        <w:numId w:val="2"/>
      </w:numPr>
    </w:pPr>
  </w:style>
  <w:style w:type="numbering" w:styleId="1ai">
    <w:name w:val="Outline List 1"/>
    <w:basedOn w:val="Nessunelenco"/>
    <w:uiPriority w:val="99"/>
    <w:semiHidden/>
    <w:rsid w:val="00E77CB3"/>
    <w:pPr>
      <w:numPr>
        <w:numId w:val="3"/>
      </w:numPr>
    </w:pPr>
  </w:style>
  <w:style w:type="numbering" w:styleId="ArticoloSezione">
    <w:name w:val="Outline List 3"/>
    <w:basedOn w:val="Nessunelenco"/>
    <w:uiPriority w:val="99"/>
    <w:semiHidden/>
    <w:rsid w:val="00E77CB3"/>
    <w:pPr>
      <w:numPr>
        <w:numId w:val="4"/>
      </w:numPr>
    </w:pPr>
  </w:style>
  <w:style w:type="paragraph" w:styleId="Bibliografia">
    <w:name w:val="Bibliography"/>
    <w:basedOn w:val="Normale"/>
    <w:next w:val="Normale"/>
    <w:uiPriority w:val="99"/>
    <w:semiHidden/>
    <w:unhideWhenUsed/>
    <w:rsid w:val="00E77CB3"/>
  </w:style>
  <w:style w:type="paragraph" w:styleId="Testodelblocco">
    <w:name w:val="Block Text"/>
    <w:basedOn w:val="Normale"/>
    <w:uiPriority w:val="99"/>
    <w:semiHidden/>
    <w:rsid w:val="00E77CB3"/>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Corpotesto">
    <w:name w:val="Body Text"/>
    <w:basedOn w:val="Normale"/>
    <w:link w:val="CorpotestoCarattere"/>
    <w:uiPriority w:val="99"/>
    <w:semiHidden/>
    <w:rsid w:val="00E77CB3"/>
    <w:pPr>
      <w:spacing w:after="120"/>
    </w:pPr>
  </w:style>
  <w:style w:type="character" w:customStyle="1" w:styleId="CorpotestoCarattere">
    <w:name w:val="Corpo testo Carattere"/>
    <w:basedOn w:val="Carpredefinitoparagrafo"/>
    <w:link w:val="Corpotesto"/>
    <w:uiPriority w:val="99"/>
    <w:semiHidden/>
    <w:rsid w:val="00E77CB3"/>
    <w:rPr>
      <w:rFonts w:eastAsiaTheme="minorEastAsia"/>
      <w:sz w:val="24"/>
    </w:rPr>
  </w:style>
  <w:style w:type="paragraph" w:styleId="Corpodeltesto2">
    <w:name w:val="Body Text 2"/>
    <w:basedOn w:val="Normale"/>
    <w:link w:val="Corpodeltesto2Carattere"/>
    <w:uiPriority w:val="99"/>
    <w:semiHidden/>
    <w:rsid w:val="00E77CB3"/>
    <w:pPr>
      <w:spacing w:after="120" w:line="480" w:lineRule="auto"/>
    </w:pPr>
  </w:style>
  <w:style w:type="character" w:customStyle="1" w:styleId="Corpodeltesto2Carattere">
    <w:name w:val="Corpo del testo 2 Carattere"/>
    <w:basedOn w:val="Carpredefinitoparagrafo"/>
    <w:link w:val="Corpodeltesto2"/>
    <w:uiPriority w:val="99"/>
    <w:semiHidden/>
    <w:rsid w:val="00E77CB3"/>
    <w:rPr>
      <w:rFonts w:eastAsiaTheme="minorEastAsia"/>
      <w:sz w:val="24"/>
    </w:rPr>
  </w:style>
  <w:style w:type="paragraph" w:styleId="Corpodeltesto3">
    <w:name w:val="Body Text 3"/>
    <w:basedOn w:val="Normale"/>
    <w:link w:val="Corpodeltesto3Carattere"/>
    <w:uiPriority w:val="99"/>
    <w:semiHidden/>
    <w:rsid w:val="00E77CB3"/>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E77CB3"/>
    <w:rPr>
      <w:rFonts w:eastAsiaTheme="minorEastAsia"/>
      <w:sz w:val="16"/>
      <w:szCs w:val="16"/>
    </w:rPr>
  </w:style>
  <w:style w:type="paragraph" w:styleId="Primorientrocorpodeltesto">
    <w:name w:val="Body Text First Indent"/>
    <w:basedOn w:val="Corpotesto"/>
    <w:link w:val="PrimorientrocorpodeltestoCarattere"/>
    <w:uiPriority w:val="99"/>
    <w:semiHidden/>
    <w:rsid w:val="00E77CB3"/>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E77CB3"/>
    <w:rPr>
      <w:rFonts w:eastAsiaTheme="minorEastAsia"/>
      <w:sz w:val="24"/>
    </w:rPr>
  </w:style>
  <w:style w:type="paragraph" w:styleId="Rientrocorpodeltesto">
    <w:name w:val="Body Text Indent"/>
    <w:basedOn w:val="Normale"/>
    <w:link w:val="RientrocorpodeltestoCarattere"/>
    <w:uiPriority w:val="99"/>
    <w:semiHidden/>
    <w:rsid w:val="00E77CB3"/>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E77CB3"/>
    <w:rPr>
      <w:rFonts w:eastAsiaTheme="minorEastAsia"/>
      <w:sz w:val="24"/>
    </w:rPr>
  </w:style>
  <w:style w:type="paragraph" w:styleId="Primorientrocorpodeltesto2">
    <w:name w:val="Body Text First Indent 2"/>
    <w:basedOn w:val="Rientrocorpodeltesto"/>
    <w:link w:val="Primorientrocorpodeltesto2Carattere"/>
    <w:uiPriority w:val="99"/>
    <w:semiHidden/>
    <w:rsid w:val="00E77CB3"/>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E77CB3"/>
    <w:rPr>
      <w:rFonts w:eastAsiaTheme="minorEastAsia"/>
      <w:sz w:val="24"/>
    </w:rPr>
  </w:style>
  <w:style w:type="paragraph" w:styleId="Rientrocorpodeltesto2">
    <w:name w:val="Body Text Indent 2"/>
    <w:basedOn w:val="Normale"/>
    <w:link w:val="Rientrocorpodeltesto2Carattere"/>
    <w:uiPriority w:val="99"/>
    <w:semiHidden/>
    <w:rsid w:val="00E77CB3"/>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E77CB3"/>
    <w:rPr>
      <w:rFonts w:eastAsiaTheme="minorEastAsia"/>
      <w:sz w:val="24"/>
    </w:rPr>
  </w:style>
  <w:style w:type="paragraph" w:styleId="Rientrocorpodeltesto3">
    <w:name w:val="Body Text Indent 3"/>
    <w:basedOn w:val="Normale"/>
    <w:link w:val="Rientrocorpodeltesto3Carattere"/>
    <w:uiPriority w:val="99"/>
    <w:semiHidden/>
    <w:rsid w:val="00E77CB3"/>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E77CB3"/>
    <w:rPr>
      <w:rFonts w:eastAsiaTheme="minorEastAsia"/>
      <w:sz w:val="16"/>
      <w:szCs w:val="16"/>
    </w:rPr>
  </w:style>
  <w:style w:type="paragraph" w:styleId="Didascalia">
    <w:name w:val="caption"/>
    <w:basedOn w:val="Normale"/>
    <w:next w:val="Normale"/>
    <w:uiPriority w:val="99"/>
    <w:semiHidden/>
    <w:qFormat/>
    <w:rsid w:val="00E77CB3"/>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E77CB3"/>
    <w:pPr>
      <w:ind w:left="4252"/>
    </w:pPr>
  </w:style>
  <w:style w:type="character" w:customStyle="1" w:styleId="FormuladichiusuraCarattere">
    <w:name w:val="Formula di chiusura Carattere"/>
    <w:basedOn w:val="Carpredefinitoparagrafo"/>
    <w:link w:val="Formuladichiusura"/>
    <w:uiPriority w:val="99"/>
    <w:semiHidden/>
    <w:rsid w:val="00E77CB3"/>
    <w:rPr>
      <w:rFonts w:eastAsiaTheme="minorEastAsia"/>
      <w:sz w:val="24"/>
    </w:rPr>
  </w:style>
  <w:style w:type="table" w:styleId="Grigliaacolori">
    <w:name w:val="Colorful Grid"/>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99"/>
    <w:semiHidden/>
    <w:rsid w:val="00E77CB3"/>
    <w:rPr>
      <w:color w:val="000000" w:themeColor="text1"/>
      <w:lang w:val="fr-FR"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99"/>
    <w:semiHidden/>
    <w:rsid w:val="00E77CB3"/>
    <w:rPr>
      <w:color w:val="000000" w:themeColor="text1"/>
      <w:lang w:val="fr-FR"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99"/>
    <w:semiHidden/>
    <w:rsid w:val="00E77CB3"/>
    <w:rPr>
      <w:color w:val="000000" w:themeColor="text1"/>
      <w:lang w:val="fr-FR"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99"/>
    <w:semiHidden/>
    <w:rsid w:val="00E77CB3"/>
    <w:rPr>
      <w:color w:val="000000" w:themeColor="text1"/>
      <w:lang w:val="fr-FR"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99"/>
    <w:semiHidden/>
    <w:rsid w:val="00E77CB3"/>
    <w:rPr>
      <w:color w:val="000000" w:themeColor="text1"/>
      <w:lang w:val="fr-FR"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99"/>
    <w:semiHidden/>
    <w:rsid w:val="00E77CB3"/>
    <w:rPr>
      <w:color w:val="000000" w:themeColor="text1"/>
      <w:lang w:val="fr-FR"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99"/>
    <w:semiHidden/>
    <w:rsid w:val="00E77CB3"/>
    <w:rPr>
      <w:color w:val="000000" w:themeColor="text1"/>
      <w:lang w:val="fr-FR"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99"/>
    <w:semiHidden/>
    <w:rsid w:val="00E77CB3"/>
    <w:rPr>
      <w:color w:val="000000" w:themeColor="text1"/>
      <w:lang w:val="fr-FR"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99"/>
    <w:semiHidden/>
    <w:rsid w:val="00E77CB3"/>
    <w:rPr>
      <w:color w:val="000000" w:themeColor="text1"/>
      <w:lang w:val="fr-FR"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99"/>
    <w:semiHidden/>
    <w:rsid w:val="00E77CB3"/>
    <w:rPr>
      <w:color w:val="000000" w:themeColor="text1"/>
      <w:lang w:val="fr-FR"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99"/>
    <w:semiHidden/>
    <w:rsid w:val="00E77CB3"/>
    <w:rPr>
      <w:color w:val="000000" w:themeColor="text1"/>
      <w:lang w:val="fr-FR"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Elencoscuro">
    <w:name w:val="Dark List"/>
    <w:basedOn w:val="Tabellanormale"/>
    <w:uiPriority w:val="99"/>
    <w:semiHidden/>
    <w:rsid w:val="00E77CB3"/>
    <w:rPr>
      <w:color w:val="0072BC"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99"/>
    <w:semiHidden/>
    <w:rsid w:val="00E77CB3"/>
    <w:rPr>
      <w:color w:val="0072BC" w:themeColor="background1"/>
      <w:lang w:val="fr-FR"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99"/>
    <w:semiHidden/>
    <w:rsid w:val="00E77CB3"/>
    <w:rPr>
      <w:color w:val="0072BC" w:themeColor="background1"/>
      <w:lang w:val="fr-FR"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99"/>
    <w:semiHidden/>
    <w:rsid w:val="00E77CB3"/>
    <w:rPr>
      <w:color w:val="0072BC" w:themeColor="background1"/>
      <w:lang w:val="fr-FR"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99"/>
    <w:semiHidden/>
    <w:rsid w:val="00E77CB3"/>
    <w:rPr>
      <w:color w:val="0072BC" w:themeColor="background1"/>
      <w:lang w:val="fr-FR"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99"/>
    <w:semiHidden/>
    <w:rsid w:val="00E77CB3"/>
    <w:rPr>
      <w:color w:val="0072BC" w:themeColor="background1"/>
      <w:lang w:val="fr-FR"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99"/>
    <w:semiHidden/>
    <w:rsid w:val="00E77CB3"/>
    <w:rPr>
      <w:color w:val="0072BC" w:themeColor="background1"/>
      <w:lang w:val="fr-FR"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E77CB3"/>
  </w:style>
  <w:style w:type="character" w:customStyle="1" w:styleId="DataCarattere">
    <w:name w:val="Data Carattere"/>
    <w:basedOn w:val="Carpredefinitoparagrafo"/>
    <w:link w:val="Data"/>
    <w:uiPriority w:val="99"/>
    <w:semiHidden/>
    <w:rsid w:val="00E77CB3"/>
    <w:rPr>
      <w:rFonts w:eastAsiaTheme="minorEastAsia"/>
      <w:sz w:val="24"/>
    </w:rPr>
  </w:style>
  <w:style w:type="paragraph" w:styleId="Firmadipostaelettronica">
    <w:name w:val="E-mail Signature"/>
    <w:basedOn w:val="Normale"/>
    <w:link w:val="FirmadipostaelettronicaCarattere"/>
    <w:uiPriority w:val="99"/>
    <w:semiHidden/>
    <w:rsid w:val="00E77CB3"/>
  </w:style>
  <w:style w:type="character" w:customStyle="1" w:styleId="FirmadipostaelettronicaCarattere">
    <w:name w:val="Firma di posta elettronica Carattere"/>
    <w:basedOn w:val="Carpredefinitoparagrafo"/>
    <w:link w:val="Firmadipostaelettronica"/>
    <w:uiPriority w:val="99"/>
    <w:semiHidden/>
    <w:rsid w:val="00E77CB3"/>
    <w:rPr>
      <w:rFonts w:eastAsiaTheme="minorEastAsia"/>
      <w:sz w:val="24"/>
    </w:rPr>
  </w:style>
  <w:style w:type="paragraph" w:styleId="Indirizzodestinatario">
    <w:name w:val="envelope address"/>
    <w:basedOn w:val="Normale"/>
    <w:uiPriority w:val="99"/>
    <w:semiHidden/>
    <w:rsid w:val="00E77CB3"/>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Indirizzomittente">
    <w:name w:val="envelope return"/>
    <w:basedOn w:val="Normale"/>
    <w:uiPriority w:val="99"/>
    <w:semiHidden/>
    <w:rsid w:val="00E77CB3"/>
    <w:rPr>
      <w:rFonts w:asciiTheme="majorHAnsi" w:eastAsiaTheme="majorEastAsia" w:hAnsiTheme="majorHAnsi" w:cstheme="majorBidi"/>
      <w:sz w:val="20"/>
      <w:szCs w:val="20"/>
    </w:rPr>
  </w:style>
  <w:style w:type="character" w:styleId="AcronimoHTML">
    <w:name w:val="HTML Acronym"/>
    <w:basedOn w:val="Carpredefinitoparagrafo"/>
    <w:uiPriority w:val="99"/>
    <w:semiHidden/>
    <w:rsid w:val="00E77CB3"/>
  </w:style>
  <w:style w:type="paragraph" w:styleId="IndirizzoHTML">
    <w:name w:val="HTML Address"/>
    <w:basedOn w:val="Normale"/>
    <w:link w:val="IndirizzoHTMLCarattere"/>
    <w:uiPriority w:val="99"/>
    <w:semiHidden/>
    <w:rsid w:val="00E77CB3"/>
    <w:rPr>
      <w:i/>
      <w:iCs/>
    </w:rPr>
  </w:style>
  <w:style w:type="character" w:customStyle="1" w:styleId="IndirizzoHTMLCarattere">
    <w:name w:val="Indirizzo HTML Carattere"/>
    <w:basedOn w:val="Carpredefinitoparagrafo"/>
    <w:link w:val="IndirizzoHTML"/>
    <w:uiPriority w:val="99"/>
    <w:semiHidden/>
    <w:rsid w:val="00E77CB3"/>
    <w:rPr>
      <w:rFonts w:eastAsiaTheme="minorEastAsia"/>
      <w:i/>
      <w:iCs/>
      <w:sz w:val="24"/>
    </w:rPr>
  </w:style>
  <w:style w:type="character" w:styleId="CitazioneHTML">
    <w:name w:val="HTML Cite"/>
    <w:basedOn w:val="Carpredefinitoparagrafo"/>
    <w:uiPriority w:val="99"/>
    <w:semiHidden/>
    <w:rsid w:val="00E77CB3"/>
    <w:rPr>
      <w:i/>
      <w:iCs/>
    </w:rPr>
  </w:style>
  <w:style w:type="character" w:styleId="CodiceHTML">
    <w:name w:val="HTML Code"/>
    <w:basedOn w:val="Carpredefinitoparagrafo"/>
    <w:uiPriority w:val="99"/>
    <w:semiHidden/>
    <w:rsid w:val="00E77CB3"/>
    <w:rPr>
      <w:rFonts w:ascii="Consolas" w:hAnsi="Consolas" w:cs="Consolas"/>
      <w:sz w:val="20"/>
      <w:szCs w:val="20"/>
    </w:rPr>
  </w:style>
  <w:style w:type="character" w:styleId="DefinizioneHTML">
    <w:name w:val="HTML Definition"/>
    <w:basedOn w:val="Carpredefinitoparagrafo"/>
    <w:uiPriority w:val="99"/>
    <w:semiHidden/>
    <w:rsid w:val="00E77CB3"/>
    <w:rPr>
      <w:i/>
      <w:iCs/>
    </w:rPr>
  </w:style>
  <w:style w:type="character" w:styleId="TastieraHTML">
    <w:name w:val="HTML Keyboard"/>
    <w:basedOn w:val="Carpredefinitoparagrafo"/>
    <w:uiPriority w:val="99"/>
    <w:semiHidden/>
    <w:rsid w:val="00E77CB3"/>
    <w:rPr>
      <w:rFonts w:ascii="Consolas" w:hAnsi="Consolas" w:cs="Consolas"/>
      <w:sz w:val="20"/>
      <w:szCs w:val="20"/>
    </w:rPr>
  </w:style>
  <w:style w:type="paragraph" w:styleId="PreformattatoHTML">
    <w:name w:val="HTML Preformatted"/>
    <w:basedOn w:val="Normale"/>
    <w:link w:val="PreformattatoHTMLCarattere"/>
    <w:uiPriority w:val="99"/>
    <w:semiHidden/>
    <w:rsid w:val="00E77CB3"/>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E77CB3"/>
    <w:rPr>
      <w:rFonts w:ascii="Consolas" w:eastAsiaTheme="minorEastAsia" w:hAnsi="Consolas" w:cs="Consolas"/>
      <w:sz w:val="20"/>
      <w:szCs w:val="20"/>
    </w:rPr>
  </w:style>
  <w:style w:type="character" w:styleId="EsempioHTML">
    <w:name w:val="HTML Sample"/>
    <w:basedOn w:val="Carpredefinitoparagrafo"/>
    <w:uiPriority w:val="99"/>
    <w:semiHidden/>
    <w:rsid w:val="00E77CB3"/>
    <w:rPr>
      <w:rFonts w:ascii="Consolas" w:hAnsi="Consolas" w:cs="Consolas"/>
      <w:sz w:val="24"/>
      <w:szCs w:val="24"/>
    </w:rPr>
  </w:style>
  <w:style w:type="character" w:styleId="MacchinadascrivereHTML">
    <w:name w:val="HTML Typewriter"/>
    <w:basedOn w:val="Carpredefinitoparagrafo"/>
    <w:uiPriority w:val="99"/>
    <w:semiHidden/>
    <w:rsid w:val="00E77CB3"/>
    <w:rPr>
      <w:rFonts w:ascii="Consolas" w:hAnsi="Consolas" w:cs="Consolas"/>
      <w:sz w:val="20"/>
      <w:szCs w:val="20"/>
    </w:rPr>
  </w:style>
  <w:style w:type="character" w:styleId="VariabileHTML">
    <w:name w:val="HTML Variable"/>
    <w:basedOn w:val="Carpredefinitoparagrafo"/>
    <w:uiPriority w:val="99"/>
    <w:semiHidden/>
    <w:rsid w:val="00E77CB3"/>
    <w:rPr>
      <w:i/>
      <w:iCs/>
    </w:rPr>
  </w:style>
  <w:style w:type="paragraph" w:styleId="Indice1">
    <w:name w:val="index 1"/>
    <w:basedOn w:val="Normale"/>
    <w:next w:val="Normale"/>
    <w:autoRedefine/>
    <w:uiPriority w:val="99"/>
    <w:semiHidden/>
    <w:rsid w:val="00E77CB3"/>
    <w:pPr>
      <w:ind w:left="240" w:hanging="240"/>
    </w:pPr>
  </w:style>
  <w:style w:type="paragraph" w:styleId="Indice2">
    <w:name w:val="index 2"/>
    <w:basedOn w:val="Normale"/>
    <w:next w:val="Normale"/>
    <w:autoRedefine/>
    <w:uiPriority w:val="99"/>
    <w:semiHidden/>
    <w:rsid w:val="00E77CB3"/>
    <w:pPr>
      <w:ind w:left="480" w:hanging="240"/>
    </w:pPr>
  </w:style>
  <w:style w:type="paragraph" w:styleId="Indice3">
    <w:name w:val="index 3"/>
    <w:basedOn w:val="Normale"/>
    <w:next w:val="Normale"/>
    <w:autoRedefine/>
    <w:uiPriority w:val="99"/>
    <w:semiHidden/>
    <w:rsid w:val="00E77CB3"/>
    <w:pPr>
      <w:ind w:left="720" w:hanging="240"/>
    </w:pPr>
  </w:style>
  <w:style w:type="paragraph" w:styleId="Indice4">
    <w:name w:val="index 4"/>
    <w:basedOn w:val="Normale"/>
    <w:next w:val="Normale"/>
    <w:autoRedefine/>
    <w:uiPriority w:val="99"/>
    <w:semiHidden/>
    <w:rsid w:val="00E77CB3"/>
    <w:pPr>
      <w:ind w:left="960" w:hanging="240"/>
    </w:pPr>
  </w:style>
  <w:style w:type="paragraph" w:styleId="Indice5">
    <w:name w:val="index 5"/>
    <w:basedOn w:val="Normale"/>
    <w:next w:val="Normale"/>
    <w:autoRedefine/>
    <w:uiPriority w:val="99"/>
    <w:semiHidden/>
    <w:rsid w:val="00E77CB3"/>
    <w:pPr>
      <w:ind w:left="1200" w:hanging="240"/>
    </w:pPr>
  </w:style>
  <w:style w:type="paragraph" w:styleId="Indice6">
    <w:name w:val="index 6"/>
    <w:basedOn w:val="Normale"/>
    <w:next w:val="Normale"/>
    <w:autoRedefine/>
    <w:uiPriority w:val="99"/>
    <w:semiHidden/>
    <w:rsid w:val="00E77CB3"/>
    <w:pPr>
      <w:ind w:left="1440" w:hanging="240"/>
    </w:pPr>
  </w:style>
  <w:style w:type="paragraph" w:styleId="Indice7">
    <w:name w:val="index 7"/>
    <w:basedOn w:val="Normale"/>
    <w:next w:val="Normale"/>
    <w:autoRedefine/>
    <w:uiPriority w:val="99"/>
    <w:semiHidden/>
    <w:rsid w:val="00E77CB3"/>
    <w:pPr>
      <w:ind w:left="1680" w:hanging="240"/>
    </w:pPr>
  </w:style>
  <w:style w:type="paragraph" w:styleId="Indice8">
    <w:name w:val="index 8"/>
    <w:basedOn w:val="Normale"/>
    <w:next w:val="Normale"/>
    <w:autoRedefine/>
    <w:uiPriority w:val="99"/>
    <w:semiHidden/>
    <w:rsid w:val="00E77CB3"/>
    <w:pPr>
      <w:ind w:left="1920" w:hanging="240"/>
    </w:pPr>
  </w:style>
  <w:style w:type="paragraph" w:styleId="Indice9">
    <w:name w:val="index 9"/>
    <w:basedOn w:val="Normale"/>
    <w:next w:val="Normale"/>
    <w:autoRedefine/>
    <w:uiPriority w:val="99"/>
    <w:semiHidden/>
    <w:rsid w:val="00E77CB3"/>
    <w:pPr>
      <w:ind w:left="2160" w:hanging="240"/>
    </w:pPr>
  </w:style>
  <w:style w:type="paragraph" w:styleId="Titoloindice">
    <w:name w:val="index heading"/>
    <w:basedOn w:val="Normale"/>
    <w:next w:val="Indice1"/>
    <w:uiPriority w:val="99"/>
    <w:semiHidden/>
    <w:rsid w:val="00E77CB3"/>
    <w:rPr>
      <w:rFonts w:asciiTheme="majorHAnsi" w:eastAsiaTheme="majorEastAsia" w:hAnsiTheme="majorHAnsi" w:cstheme="majorBidi"/>
      <w:b/>
      <w:bCs/>
    </w:rPr>
  </w:style>
  <w:style w:type="table" w:styleId="Grigliachiara">
    <w:name w:val="Light Grid"/>
    <w:basedOn w:val="Tabellanormale"/>
    <w:uiPriority w:val="99"/>
    <w:semiHidden/>
    <w:rsid w:val="00E77CB3"/>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99"/>
    <w:semiHidden/>
    <w:rsid w:val="00E77CB3"/>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99"/>
    <w:semiHidden/>
    <w:rsid w:val="00E77CB3"/>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99"/>
    <w:semiHidden/>
    <w:rsid w:val="00E77CB3"/>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99"/>
    <w:semiHidden/>
    <w:rsid w:val="00E77CB3"/>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99"/>
    <w:semiHidden/>
    <w:rsid w:val="00E77CB3"/>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99"/>
    <w:semiHidden/>
    <w:rsid w:val="00E77CB3"/>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99"/>
    <w:semiHidden/>
    <w:rsid w:val="00E77CB3"/>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99"/>
    <w:semiHidden/>
    <w:rsid w:val="00E77CB3"/>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99"/>
    <w:semiHidden/>
    <w:rsid w:val="00E77CB3"/>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99"/>
    <w:semiHidden/>
    <w:rsid w:val="00E77CB3"/>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99"/>
    <w:semiHidden/>
    <w:rsid w:val="00E77CB3"/>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99"/>
    <w:semiHidden/>
    <w:rsid w:val="00E77CB3"/>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99"/>
    <w:semiHidden/>
    <w:rsid w:val="00E77CB3"/>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99"/>
    <w:semiHidden/>
    <w:rsid w:val="00E77CB3"/>
    <w:rPr>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99"/>
    <w:semiHidden/>
    <w:rsid w:val="00E77CB3"/>
    <w:rPr>
      <w:color w:val="00548C" w:themeColor="accent1" w:themeShade="BF"/>
      <w:lang w:val="fr-FR"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99"/>
    <w:semiHidden/>
    <w:rsid w:val="00E77CB3"/>
    <w:rPr>
      <w:color w:val="8F0000" w:themeColor="accent2" w:themeShade="BF"/>
      <w:lang w:val="fr-FR"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99"/>
    <w:semiHidden/>
    <w:rsid w:val="00E77CB3"/>
    <w:rPr>
      <w:color w:val="474747" w:themeColor="accent3" w:themeShade="BF"/>
      <w:lang w:val="fr-FR"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99"/>
    <w:semiHidden/>
    <w:rsid w:val="00E77CB3"/>
    <w:rPr>
      <w:color w:val="707070" w:themeColor="accent4" w:themeShade="BF"/>
      <w:lang w:val="fr-FR"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99"/>
    <w:semiHidden/>
    <w:rsid w:val="00E77CB3"/>
    <w:rPr>
      <w:color w:val="474747" w:themeColor="accent5" w:themeShade="BF"/>
      <w:lang w:val="fr-FR"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99"/>
    <w:semiHidden/>
    <w:rsid w:val="00E77CB3"/>
    <w:rPr>
      <w:color w:val="393939" w:themeColor="accent6" w:themeShade="BF"/>
      <w:lang w:val="fr-FR"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E77CB3"/>
  </w:style>
  <w:style w:type="paragraph" w:styleId="Elenco">
    <w:name w:val="List"/>
    <w:basedOn w:val="Normale"/>
    <w:uiPriority w:val="99"/>
    <w:semiHidden/>
    <w:rsid w:val="00E77CB3"/>
    <w:pPr>
      <w:ind w:left="283" w:hanging="283"/>
      <w:contextualSpacing/>
    </w:pPr>
  </w:style>
  <w:style w:type="paragraph" w:styleId="Elenco2">
    <w:name w:val="List 2"/>
    <w:basedOn w:val="Normale"/>
    <w:uiPriority w:val="99"/>
    <w:semiHidden/>
    <w:rsid w:val="00E77CB3"/>
    <w:pPr>
      <w:ind w:left="566" w:hanging="283"/>
      <w:contextualSpacing/>
    </w:pPr>
  </w:style>
  <w:style w:type="paragraph" w:styleId="Elenco3">
    <w:name w:val="List 3"/>
    <w:basedOn w:val="Normale"/>
    <w:uiPriority w:val="99"/>
    <w:semiHidden/>
    <w:rsid w:val="00E77CB3"/>
    <w:pPr>
      <w:ind w:left="849" w:hanging="283"/>
      <w:contextualSpacing/>
    </w:pPr>
  </w:style>
  <w:style w:type="paragraph" w:styleId="Elenco4">
    <w:name w:val="List 4"/>
    <w:basedOn w:val="Normale"/>
    <w:uiPriority w:val="99"/>
    <w:semiHidden/>
    <w:rsid w:val="00E77CB3"/>
    <w:pPr>
      <w:ind w:left="1132" w:hanging="283"/>
      <w:contextualSpacing/>
    </w:pPr>
  </w:style>
  <w:style w:type="paragraph" w:styleId="Elenco5">
    <w:name w:val="List 5"/>
    <w:basedOn w:val="Normale"/>
    <w:uiPriority w:val="99"/>
    <w:semiHidden/>
    <w:rsid w:val="00E77CB3"/>
    <w:pPr>
      <w:ind w:left="1415" w:hanging="283"/>
      <w:contextualSpacing/>
    </w:pPr>
  </w:style>
  <w:style w:type="paragraph" w:styleId="Puntoelenco2">
    <w:name w:val="List Bullet 2"/>
    <w:basedOn w:val="Normale"/>
    <w:uiPriority w:val="99"/>
    <w:semiHidden/>
    <w:rsid w:val="00E77CB3"/>
    <w:pPr>
      <w:numPr>
        <w:numId w:val="5"/>
      </w:numPr>
      <w:contextualSpacing/>
    </w:pPr>
  </w:style>
  <w:style w:type="paragraph" w:styleId="Puntoelenco3">
    <w:name w:val="List Bullet 3"/>
    <w:basedOn w:val="Normale"/>
    <w:uiPriority w:val="99"/>
    <w:semiHidden/>
    <w:rsid w:val="00E77CB3"/>
    <w:pPr>
      <w:numPr>
        <w:numId w:val="6"/>
      </w:numPr>
      <w:contextualSpacing/>
    </w:pPr>
  </w:style>
  <w:style w:type="paragraph" w:styleId="Puntoelenco4">
    <w:name w:val="List Bullet 4"/>
    <w:basedOn w:val="Normale"/>
    <w:uiPriority w:val="99"/>
    <w:semiHidden/>
    <w:rsid w:val="00E77CB3"/>
    <w:pPr>
      <w:numPr>
        <w:numId w:val="7"/>
      </w:numPr>
      <w:contextualSpacing/>
    </w:pPr>
  </w:style>
  <w:style w:type="paragraph" w:styleId="Puntoelenco5">
    <w:name w:val="List Bullet 5"/>
    <w:basedOn w:val="Normale"/>
    <w:uiPriority w:val="99"/>
    <w:semiHidden/>
    <w:rsid w:val="00E77CB3"/>
    <w:pPr>
      <w:numPr>
        <w:numId w:val="8"/>
      </w:numPr>
      <w:contextualSpacing/>
    </w:pPr>
  </w:style>
  <w:style w:type="paragraph" w:styleId="Elencocontinua">
    <w:name w:val="List Continue"/>
    <w:basedOn w:val="Normale"/>
    <w:uiPriority w:val="99"/>
    <w:semiHidden/>
    <w:rsid w:val="00E77CB3"/>
    <w:pPr>
      <w:spacing w:after="120"/>
      <w:ind w:left="283"/>
      <w:contextualSpacing/>
    </w:pPr>
  </w:style>
  <w:style w:type="paragraph" w:styleId="Elencocontinua2">
    <w:name w:val="List Continue 2"/>
    <w:basedOn w:val="Normale"/>
    <w:uiPriority w:val="99"/>
    <w:semiHidden/>
    <w:rsid w:val="00E77CB3"/>
    <w:pPr>
      <w:spacing w:after="120"/>
      <w:ind w:left="566"/>
      <w:contextualSpacing/>
    </w:pPr>
  </w:style>
  <w:style w:type="paragraph" w:styleId="Elencocontinua3">
    <w:name w:val="List Continue 3"/>
    <w:basedOn w:val="Normale"/>
    <w:uiPriority w:val="99"/>
    <w:semiHidden/>
    <w:rsid w:val="00E77CB3"/>
    <w:pPr>
      <w:spacing w:after="120"/>
      <w:ind w:left="849"/>
      <w:contextualSpacing/>
    </w:pPr>
  </w:style>
  <w:style w:type="paragraph" w:styleId="Elencocontinua4">
    <w:name w:val="List Continue 4"/>
    <w:basedOn w:val="Normale"/>
    <w:uiPriority w:val="99"/>
    <w:semiHidden/>
    <w:rsid w:val="00E77CB3"/>
    <w:pPr>
      <w:spacing w:after="120"/>
      <w:ind w:left="1132"/>
      <w:contextualSpacing/>
    </w:pPr>
  </w:style>
  <w:style w:type="paragraph" w:styleId="Elencocontinua5">
    <w:name w:val="List Continue 5"/>
    <w:basedOn w:val="Normale"/>
    <w:uiPriority w:val="99"/>
    <w:semiHidden/>
    <w:rsid w:val="00E77CB3"/>
    <w:pPr>
      <w:spacing w:after="120"/>
      <w:ind w:left="1415"/>
      <w:contextualSpacing/>
    </w:pPr>
  </w:style>
  <w:style w:type="paragraph" w:styleId="Numeroelenco">
    <w:name w:val="List Number"/>
    <w:basedOn w:val="Normale"/>
    <w:uiPriority w:val="99"/>
    <w:semiHidden/>
    <w:rsid w:val="00E77CB3"/>
    <w:pPr>
      <w:numPr>
        <w:numId w:val="9"/>
      </w:numPr>
      <w:contextualSpacing/>
    </w:pPr>
  </w:style>
  <w:style w:type="paragraph" w:styleId="Numeroelenco2">
    <w:name w:val="List Number 2"/>
    <w:basedOn w:val="Normale"/>
    <w:uiPriority w:val="99"/>
    <w:semiHidden/>
    <w:rsid w:val="00E77CB3"/>
    <w:pPr>
      <w:numPr>
        <w:numId w:val="10"/>
      </w:numPr>
      <w:contextualSpacing/>
    </w:pPr>
  </w:style>
  <w:style w:type="paragraph" w:styleId="Numeroelenco3">
    <w:name w:val="List Number 3"/>
    <w:basedOn w:val="Normale"/>
    <w:uiPriority w:val="99"/>
    <w:semiHidden/>
    <w:rsid w:val="00E77CB3"/>
    <w:pPr>
      <w:numPr>
        <w:numId w:val="11"/>
      </w:numPr>
      <w:contextualSpacing/>
    </w:pPr>
  </w:style>
  <w:style w:type="paragraph" w:styleId="Numeroelenco4">
    <w:name w:val="List Number 4"/>
    <w:basedOn w:val="Normale"/>
    <w:uiPriority w:val="99"/>
    <w:semiHidden/>
    <w:rsid w:val="00E77CB3"/>
    <w:pPr>
      <w:numPr>
        <w:numId w:val="12"/>
      </w:numPr>
      <w:contextualSpacing/>
    </w:pPr>
  </w:style>
  <w:style w:type="paragraph" w:styleId="Numeroelenco5">
    <w:name w:val="List Number 5"/>
    <w:basedOn w:val="Normale"/>
    <w:uiPriority w:val="99"/>
    <w:semiHidden/>
    <w:rsid w:val="00E77CB3"/>
    <w:pPr>
      <w:numPr>
        <w:numId w:val="13"/>
      </w:numPr>
      <w:contextualSpacing/>
    </w:pPr>
  </w:style>
  <w:style w:type="paragraph" w:styleId="Testomacro">
    <w:name w:val="macro"/>
    <w:link w:val="TestomacroCarattere"/>
    <w:uiPriority w:val="99"/>
    <w:semiHidden/>
    <w:rsid w:val="00E77CB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E77CB3"/>
    <w:rPr>
      <w:rFonts w:ascii="Consolas" w:eastAsiaTheme="minorEastAsia" w:hAnsi="Consolas" w:cs="Consolas"/>
      <w:sz w:val="20"/>
      <w:szCs w:val="20"/>
    </w:rPr>
  </w:style>
  <w:style w:type="table" w:styleId="Grigliamedia1">
    <w:name w:val="Medium Grid 1"/>
    <w:basedOn w:val="Tabellanormale"/>
    <w:uiPriority w:val="99"/>
    <w:semiHidden/>
    <w:rsid w:val="00E77CB3"/>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99"/>
    <w:semiHidden/>
    <w:rsid w:val="00E77CB3"/>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99"/>
    <w:semiHidden/>
    <w:rsid w:val="00E77CB3"/>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99"/>
    <w:semiHidden/>
    <w:rsid w:val="00E77CB3"/>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99"/>
    <w:semiHidden/>
    <w:rsid w:val="00E77CB3"/>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99"/>
    <w:semiHidden/>
    <w:rsid w:val="00E77CB3"/>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99"/>
    <w:semiHidden/>
    <w:rsid w:val="00E77CB3"/>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99"/>
    <w:semiHidden/>
    <w:rsid w:val="00E77CB3"/>
    <w:rPr>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99"/>
    <w:semiHidden/>
    <w:rsid w:val="00E77CB3"/>
    <w:rPr>
      <w:color w:val="000000" w:themeColor="text1"/>
      <w:lang w:val="fr-FR"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99"/>
    <w:semiHidden/>
    <w:rsid w:val="00E77CB3"/>
    <w:rPr>
      <w:color w:val="000000" w:themeColor="text1"/>
      <w:lang w:val="fr-FR"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99"/>
    <w:semiHidden/>
    <w:rsid w:val="00E77CB3"/>
    <w:rPr>
      <w:color w:val="000000" w:themeColor="text1"/>
      <w:lang w:val="fr-FR"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99"/>
    <w:semiHidden/>
    <w:rsid w:val="00E77CB3"/>
    <w:rPr>
      <w:color w:val="000000" w:themeColor="text1"/>
      <w:lang w:val="fr-FR"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99"/>
    <w:semiHidden/>
    <w:rsid w:val="00E77CB3"/>
    <w:rPr>
      <w:color w:val="000000" w:themeColor="text1"/>
      <w:lang w:val="fr-FR"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99"/>
    <w:semiHidden/>
    <w:rsid w:val="00E77CB3"/>
    <w:rPr>
      <w:color w:val="000000" w:themeColor="text1"/>
      <w:lang w:val="fr-FR"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99"/>
    <w:semiHidden/>
    <w:rsid w:val="00E77CB3"/>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99"/>
    <w:semiHidden/>
    <w:rsid w:val="00E77CB3"/>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99"/>
    <w:semiHidden/>
    <w:rsid w:val="00E77CB3"/>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99"/>
    <w:semiHidden/>
    <w:rsid w:val="00E77CB3"/>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99"/>
    <w:semiHidden/>
    <w:rsid w:val="00E77CB3"/>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99"/>
    <w:semiHidden/>
    <w:rsid w:val="00E77CB3"/>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99"/>
    <w:semiHidden/>
    <w:rsid w:val="00E77CB3"/>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E77CB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E77CB3"/>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E77CB3"/>
    <w:rPr>
      <w:rFonts w:ascii="Times New Roman" w:hAnsi="Times New Roman" w:cs="Times New Roman"/>
      <w:szCs w:val="24"/>
    </w:rPr>
  </w:style>
  <w:style w:type="paragraph" w:styleId="Rientronormale">
    <w:name w:val="Normal Indent"/>
    <w:basedOn w:val="Normale"/>
    <w:uiPriority w:val="99"/>
    <w:semiHidden/>
    <w:rsid w:val="00E77CB3"/>
    <w:pPr>
      <w:ind w:left="720"/>
    </w:pPr>
  </w:style>
  <w:style w:type="paragraph" w:styleId="Intestazionenota">
    <w:name w:val="Note Heading"/>
    <w:basedOn w:val="Normale"/>
    <w:next w:val="Normale"/>
    <w:link w:val="IntestazionenotaCarattere"/>
    <w:uiPriority w:val="99"/>
    <w:semiHidden/>
    <w:rsid w:val="00E77CB3"/>
  </w:style>
  <w:style w:type="character" w:customStyle="1" w:styleId="IntestazionenotaCarattere">
    <w:name w:val="Intestazione nota Carattere"/>
    <w:basedOn w:val="Carpredefinitoparagrafo"/>
    <w:link w:val="Intestazionenota"/>
    <w:uiPriority w:val="99"/>
    <w:semiHidden/>
    <w:rsid w:val="00E77CB3"/>
    <w:rPr>
      <w:rFonts w:eastAsiaTheme="minorEastAsia"/>
      <w:sz w:val="24"/>
    </w:rPr>
  </w:style>
  <w:style w:type="character" w:styleId="Testosegnaposto">
    <w:name w:val="Placeholder Text"/>
    <w:basedOn w:val="Carpredefinitoparagrafo"/>
    <w:uiPriority w:val="99"/>
    <w:semiHidden/>
    <w:rsid w:val="00E03C14"/>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rsid w:val="00E77CB3"/>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E77CB3"/>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E77CB3"/>
  </w:style>
  <w:style w:type="character" w:customStyle="1" w:styleId="FormuladiaperturaCarattere">
    <w:name w:val="Formula di apertura Carattere"/>
    <w:basedOn w:val="Carpredefinitoparagrafo"/>
    <w:link w:val="Formuladiapertura"/>
    <w:uiPriority w:val="99"/>
    <w:semiHidden/>
    <w:rsid w:val="00E77CB3"/>
    <w:rPr>
      <w:rFonts w:eastAsiaTheme="minorEastAsia"/>
      <w:sz w:val="24"/>
    </w:rPr>
  </w:style>
  <w:style w:type="paragraph" w:styleId="Firma">
    <w:name w:val="Signature"/>
    <w:basedOn w:val="Normale"/>
    <w:link w:val="FirmaCarattere"/>
    <w:uiPriority w:val="99"/>
    <w:semiHidden/>
    <w:rsid w:val="00E77CB3"/>
    <w:pPr>
      <w:ind w:left="4252"/>
    </w:pPr>
  </w:style>
  <w:style w:type="character" w:customStyle="1" w:styleId="FirmaCarattere">
    <w:name w:val="Firma Carattere"/>
    <w:basedOn w:val="Carpredefinitoparagrafo"/>
    <w:link w:val="Firma"/>
    <w:uiPriority w:val="99"/>
    <w:semiHidden/>
    <w:rsid w:val="00E77CB3"/>
    <w:rPr>
      <w:rFonts w:eastAsiaTheme="minorEastAsia"/>
      <w:sz w:val="24"/>
    </w:rPr>
  </w:style>
  <w:style w:type="table" w:styleId="Tabellaeffetti3D1">
    <w:name w:val="Table 3D effects 1"/>
    <w:basedOn w:val="Tabellanormale"/>
    <w:uiPriority w:val="99"/>
    <w:semiHidden/>
    <w:rsid w:val="00E77CB3"/>
    <w:pPr>
      <w:jc w:val="both"/>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rsid w:val="00E77CB3"/>
    <w:pPr>
      <w:jc w:val="both"/>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rsid w:val="00E77CB3"/>
    <w:pPr>
      <w:jc w:val="both"/>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rsid w:val="00E77CB3"/>
    <w:pPr>
      <w:jc w:val="both"/>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rsid w:val="00E77CB3"/>
    <w:pPr>
      <w:jc w:val="both"/>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rsid w:val="00E77CB3"/>
    <w:pPr>
      <w:jc w:val="both"/>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rsid w:val="00E77CB3"/>
    <w:pPr>
      <w:jc w:val="both"/>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rsid w:val="00E77CB3"/>
    <w:pPr>
      <w:jc w:val="both"/>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rsid w:val="00E77CB3"/>
    <w:pPr>
      <w:jc w:val="both"/>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rsid w:val="00E77CB3"/>
    <w:pPr>
      <w:jc w:val="both"/>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rsid w:val="00E77CB3"/>
    <w:pPr>
      <w:jc w:val="both"/>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rsid w:val="00E77CB3"/>
    <w:pPr>
      <w:jc w:val="both"/>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rsid w:val="00E77CB3"/>
    <w:pPr>
      <w:jc w:val="both"/>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rsid w:val="00E77CB3"/>
    <w:pPr>
      <w:jc w:val="both"/>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rsid w:val="00E77CB3"/>
    <w:pPr>
      <w:jc w:val="both"/>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rsid w:val="00E77CB3"/>
    <w:pPr>
      <w:jc w:val="both"/>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rsid w:val="00E77CB3"/>
    <w:pPr>
      <w:jc w:val="both"/>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griglia1">
    <w:name w:val="Table Grid 1"/>
    <w:basedOn w:val="Tabellanormale"/>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uiPriority w:val="99"/>
    <w:semiHidden/>
    <w:rsid w:val="00E77CB3"/>
    <w:pPr>
      <w:jc w:val="both"/>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uiPriority w:val="99"/>
    <w:semiHidden/>
    <w:rsid w:val="00E77CB3"/>
    <w:pPr>
      <w:jc w:val="both"/>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uiPriority w:val="99"/>
    <w:semiHidden/>
    <w:rsid w:val="00E77CB3"/>
    <w:pPr>
      <w:jc w:val="both"/>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uiPriority w:val="99"/>
    <w:semiHidden/>
    <w:rsid w:val="00E77CB3"/>
    <w:pPr>
      <w:jc w:val="both"/>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uiPriority w:val="99"/>
    <w:semiHidden/>
    <w:rsid w:val="00E77CB3"/>
    <w:pPr>
      <w:jc w:val="both"/>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uiPriority w:val="99"/>
    <w:semiHidden/>
    <w:rsid w:val="00E77CB3"/>
    <w:pPr>
      <w:jc w:val="both"/>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uiPriority w:val="99"/>
    <w:semiHidden/>
    <w:rsid w:val="00E77CB3"/>
    <w:pPr>
      <w:jc w:val="both"/>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uiPriority w:val="99"/>
    <w:semiHidden/>
    <w:rsid w:val="00E77CB3"/>
    <w:pPr>
      <w:jc w:val="both"/>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uiPriority w:val="99"/>
    <w:semiHidden/>
    <w:rsid w:val="00E77CB3"/>
    <w:pPr>
      <w:jc w:val="both"/>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uiPriority w:val="99"/>
    <w:semiHidden/>
    <w:rsid w:val="00E77CB3"/>
    <w:pPr>
      <w:jc w:val="both"/>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uiPriority w:val="99"/>
    <w:semiHidden/>
    <w:rsid w:val="00E77CB3"/>
    <w:pPr>
      <w:jc w:val="both"/>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E77CB3"/>
    <w:pPr>
      <w:ind w:left="240" w:hanging="240"/>
    </w:pPr>
  </w:style>
  <w:style w:type="paragraph" w:styleId="Indicedellefigure">
    <w:name w:val="table of figures"/>
    <w:basedOn w:val="Normale"/>
    <w:next w:val="Normale"/>
    <w:uiPriority w:val="99"/>
    <w:semiHidden/>
    <w:rsid w:val="00E77CB3"/>
  </w:style>
  <w:style w:type="table" w:styleId="Tabellaprofessionale">
    <w:name w:val="Table Professional"/>
    <w:basedOn w:val="Tabellanormale"/>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rsid w:val="00E77CB3"/>
    <w:pPr>
      <w:jc w:val="both"/>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rsid w:val="00E77CB3"/>
    <w:pPr>
      <w:jc w:val="both"/>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rsid w:val="00E77CB3"/>
    <w:pPr>
      <w:jc w:val="both"/>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rsid w:val="00E77CB3"/>
    <w:pPr>
      <w:jc w:val="both"/>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rsid w:val="00E77CB3"/>
    <w:pPr>
      <w:jc w:val="both"/>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rsid w:val="00E77CB3"/>
    <w:pPr>
      <w:jc w:val="both"/>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rsid w:val="00E77CB3"/>
    <w:pPr>
      <w:jc w:val="both"/>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rsid w:val="00E77CB3"/>
    <w:pPr>
      <w:jc w:val="both"/>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E03C14"/>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E03C14"/>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rsid w:val="00E77CB3"/>
    <w:pPr>
      <w:spacing w:after="100"/>
      <w:ind w:left="1680"/>
    </w:pPr>
  </w:style>
  <w:style w:type="paragraph" w:styleId="Sommario9">
    <w:name w:val="toc 9"/>
    <w:basedOn w:val="Normale"/>
    <w:next w:val="Normale"/>
    <w:autoRedefine/>
    <w:uiPriority w:val="99"/>
    <w:semiHidden/>
    <w:rsid w:val="00E77CB3"/>
    <w:pPr>
      <w:spacing w:after="100"/>
      <w:ind w:left="1920"/>
    </w:pPr>
  </w:style>
  <w:style w:type="paragraph" w:customStyle="1" w:styleId="OpiHA0">
    <w:name w:val="Opi_H_A"/>
    <w:basedOn w:val="ECHRHeading1"/>
    <w:next w:val="OpiPara"/>
    <w:uiPriority w:val="41"/>
    <w:qFormat/>
    <w:rsid w:val="00E03C14"/>
    <w:pPr>
      <w:tabs>
        <w:tab w:val="clear" w:pos="357"/>
      </w:tabs>
      <w:outlineLvl w:val="1"/>
    </w:pPr>
    <w:rPr>
      <w:b/>
    </w:rPr>
  </w:style>
  <w:style w:type="paragraph" w:customStyle="1" w:styleId="OpiHi">
    <w:name w:val="Opi_H_i"/>
    <w:basedOn w:val="ECHRHeading4"/>
    <w:uiPriority w:val="44"/>
    <w:qFormat/>
    <w:rsid w:val="00E03C14"/>
    <w:pPr>
      <w:ind w:left="1037" w:hanging="357"/>
      <w:outlineLvl w:val="4"/>
    </w:pPr>
    <w:rPr>
      <w:b w:val="0"/>
      <w:i/>
    </w:rPr>
  </w:style>
  <w:style w:type="paragraph" w:customStyle="1" w:styleId="OpiPara">
    <w:name w:val="Opi_Para"/>
    <w:basedOn w:val="ECHRPara"/>
    <w:uiPriority w:val="46"/>
    <w:qFormat/>
    <w:rsid w:val="00E03C14"/>
  </w:style>
  <w:style w:type="paragraph" w:customStyle="1" w:styleId="OpiParaSub">
    <w:name w:val="Opi_Para_Sub"/>
    <w:basedOn w:val="JuParaSub"/>
    <w:uiPriority w:val="47"/>
    <w:qFormat/>
    <w:rsid w:val="00E03C14"/>
  </w:style>
  <w:style w:type="paragraph" w:customStyle="1" w:styleId="OpiQuot">
    <w:name w:val="Opi_Quot"/>
    <w:basedOn w:val="ECHRParaQuote"/>
    <w:uiPriority w:val="48"/>
    <w:qFormat/>
    <w:rsid w:val="00E03C14"/>
  </w:style>
  <w:style w:type="paragraph" w:customStyle="1" w:styleId="OpiQuotSub">
    <w:name w:val="Opi_Quot_Sub"/>
    <w:basedOn w:val="JuQuotSub"/>
    <w:uiPriority w:val="49"/>
    <w:qFormat/>
    <w:rsid w:val="00E03C14"/>
  </w:style>
  <w:style w:type="paragraph" w:customStyle="1" w:styleId="OpiTranslation">
    <w:name w:val="Opi_Translation"/>
    <w:basedOn w:val="Normale"/>
    <w:next w:val="OpiPara"/>
    <w:uiPriority w:val="40"/>
    <w:qFormat/>
    <w:rsid w:val="00E03C14"/>
    <w:pPr>
      <w:jc w:val="center"/>
      <w:outlineLvl w:val="0"/>
    </w:pPr>
    <w:rPr>
      <w:i/>
    </w:rPr>
  </w:style>
  <w:style w:type="paragraph" w:customStyle="1" w:styleId="ECHRSpacer">
    <w:name w:val="ECHR_Spacer"/>
    <w:basedOn w:val="Normale"/>
    <w:uiPriority w:val="45"/>
    <w:rsid w:val="00AA755B"/>
    <w:pPr>
      <w:jc w:val="left"/>
    </w:pPr>
    <w:rPr>
      <w:rFonts w:eastAsiaTheme="minorHAnsi"/>
      <w:sz w:val="4"/>
    </w:rPr>
  </w:style>
  <w:style w:type="character" w:customStyle="1" w:styleId="ECHRParaChar">
    <w:name w:val="ECHR_Para Char"/>
    <w:aliases w:val="Ju_Para Char"/>
    <w:link w:val="ECHRPara"/>
    <w:uiPriority w:val="12"/>
    <w:rsid w:val="00020FE1"/>
    <w:rPr>
      <w:rFonts w:eastAsiaTheme="minorEastAsia"/>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061562">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203758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24C74-5369-4BF9-B262-0249792A3F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C9A120-43D7-4A55-BE01-61A5AAC5E8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82E2BC7-B826-431E-8CE6-D30EE5379E0C}">
  <ds:schemaRefs>
    <ds:schemaRef ds:uri="http://schemas.microsoft.com/sharepoint/v3/contenttype/forms"/>
  </ds:schemaRefs>
</ds:datastoreItem>
</file>

<file path=customXml/itemProps4.xml><?xml version="1.0" encoding="utf-8"?>
<ds:datastoreItem xmlns:ds="http://schemas.openxmlformats.org/officeDocument/2006/customXml" ds:itemID="{6982CE4B-BD5D-41CC-80E1-71C5C33D4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6871</Words>
  <Characters>39169</Characters>
  <Application>Microsoft Office Word</Application>
  <DocSecurity>0</DocSecurity>
  <Lines>326</Lines>
  <Paragraphs>91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LinksUpToDate>false</LinksUpToDate>
  <CharactersWithSpaces>45949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DJF</dc:subject>
  <dc:creator/>
  <cp:lastModifiedBy/>
  <cp:revision>1</cp:revision>
  <dcterms:created xsi:type="dcterms:W3CDTF">2018-10-24T14:21:00Z</dcterms:created>
  <dcterms:modified xsi:type="dcterms:W3CDTF">2018-10-24T14:21:00Z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55216/08</vt:lpwstr>
  </property>
  <property fmtid="{D5CDD505-2E9C-101B-9397-08002B2CF9AE}" pid="4" name="CASEID">
    <vt:lpwstr>539374</vt:lpwstr>
  </property>
  <property fmtid="{D5CDD505-2E9C-101B-9397-08002B2CF9AE}" pid="5" name="ContentTypeId">
    <vt:lpwstr>0x010100558EB02BDB9E204AB350EDD385B68E10</vt:lpwstr>
  </property>
</Properties>
</file>